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101" w:rsidRDefault="00CB3101" w:rsidP="002A78C0">
      <w:pPr>
        <w:rPr>
          <w:lang w:eastAsia="el-GR"/>
        </w:rPr>
      </w:pPr>
    </w:p>
    <w:p w:rsidR="00624939" w:rsidRDefault="00624939" w:rsidP="002A78C0">
      <w:pPr>
        <w:rPr>
          <w:lang w:eastAsia="el-GR"/>
        </w:rPr>
      </w:pPr>
    </w:p>
    <w:p w:rsidR="002A78C0" w:rsidRDefault="002A78C0" w:rsidP="002A78C0">
      <w:pPr>
        <w:rPr>
          <w:lang w:eastAsia="el-GR"/>
        </w:rPr>
      </w:pPr>
      <w:r>
        <w:rPr>
          <w:lang w:eastAsia="el-GR"/>
        </w:rPr>
        <w:t xml:space="preserve">Τα τελευταία χρόνια, έχει βγει από την </w:t>
      </w:r>
      <w:r w:rsidRPr="00573BE6">
        <w:rPr>
          <w:szCs w:val="24"/>
          <w:lang w:eastAsia="el-GR"/>
        </w:rPr>
        <w:t>διδακτέα</w:t>
      </w:r>
      <w:r w:rsidRPr="00573BE6">
        <w:rPr>
          <w:sz w:val="28"/>
          <w:lang w:eastAsia="el-GR"/>
        </w:rPr>
        <w:t xml:space="preserve"> </w:t>
      </w:r>
      <w:r>
        <w:rPr>
          <w:lang w:eastAsia="el-GR"/>
        </w:rPr>
        <w:t>ύλη, κάθε αναφορά σ</w:t>
      </w:r>
      <w:r w:rsidR="005165C4">
        <w:rPr>
          <w:lang w:eastAsia="el-GR"/>
        </w:rPr>
        <w:t>την</w:t>
      </w:r>
      <w:r>
        <w:rPr>
          <w:lang w:eastAsia="el-GR"/>
        </w:rPr>
        <w:t xml:space="preserve"> </w:t>
      </w:r>
      <w:r w:rsidR="005165C4">
        <w:rPr>
          <w:lang w:eastAsia="el-GR"/>
        </w:rPr>
        <w:t xml:space="preserve">συμπεριφορά της ύλης, όταν βρεθεί </w:t>
      </w:r>
      <w:r w:rsidR="005165C4" w:rsidRPr="00573BE6">
        <w:rPr>
          <w:lang w:eastAsia="el-GR"/>
        </w:rPr>
        <w:t>μέσα</w:t>
      </w:r>
      <w:r w:rsidR="005165C4">
        <w:rPr>
          <w:lang w:eastAsia="el-GR"/>
        </w:rPr>
        <w:t xml:space="preserve"> </w:t>
      </w:r>
      <w:r w:rsidR="005165C4" w:rsidRPr="00573BE6">
        <w:rPr>
          <w:lang w:eastAsia="el-GR"/>
        </w:rPr>
        <w:t>σε</w:t>
      </w:r>
      <w:r w:rsidR="005165C4">
        <w:rPr>
          <w:lang w:eastAsia="el-GR"/>
        </w:rPr>
        <w:t xml:space="preserve"> ηλεκτρικό πεδίο,</w:t>
      </w:r>
      <w:r w:rsidR="00A9293E" w:rsidRPr="00A9293E">
        <w:rPr>
          <w:lang w:eastAsia="el-GR"/>
        </w:rPr>
        <w:t xml:space="preserve"> </w:t>
      </w:r>
      <w:r w:rsidR="00A9293E">
        <w:rPr>
          <w:lang w:eastAsia="el-GR"/>
        </w:rPr>
        <w:t xml:space="preserve">όπως επίσης και </w:t>
      </w:r>
      <w:r w:rsidR="005165C4">
        <w:rPr>
          <w:lang w:eastAsia="el-GR"/>
        </w:rPr>
        <w:t>το ηλεκτρικό πεδίο, που δημιουργεί ένα φορτισμένο σώμα, το οποίο δεν είναι σημειακό αντικείμενο. Έχο</w:t>
      </w:r>
      <w:r w:rsidR="005165C4">
        <w:rPr>
          <w:lang w:eastAsia="el-GR"/>
        </w:rPr>
        <w:t>υ</w:t>
      </w:r>
      <w:r w:rsidR="005165C4">
        <w:rPr>
          <w:lang w:eastAsia="el-GR"/>
        </w:rPr>
        <w:t>με περιοριστεί να μελετάμε, το ηλεκτρικό πεδίο που οφείλεται σε σημειακά ηλεκτρικά φορτία και πέρα</w:t>
      </w:r>
      <w:r w:rsidR="00704E12">
        <w:rPr>
          <w:lang w:eastAsia="el-GR"/>
        </w:rPr>
        <w:t xml:space="preserve"> τούτου ουδέν…</w:t>
      </w:r>
      <w:r w:rsidR="005165C4">
        <w:rPr>
          <w:lang w:eastAsia="el-GR"/>
        </w:rPr>
        <w:t xml:space="preserve">(με εξαίρεση μια απλοποιημένη </w:t>
      </w:r>
      <w:r w:rsidR="00704E12">
        <w:rPr>
          <w:lang w:eastAsia="el-GR"/>
        </w:rPr>
        <w:t>διδασκαλία</w:t>
      </w:r>
      <w:r w:rsidR="005165C4">
        <w:rPr>
          <w:lang w:eastAsia="el-GR"/>
        </w:rPr>
        <w:t xml:space="preserve"> του π</w:t>
      </w:r>
      <w:r w:rsidR="005165C4">
        <w:rPr>
          <w:lang w:eastAsia="el-GR"/>
        </w:rPr>
        <w:t>υ</w:t>
      </w:r>
      <w:r w:rsidR="005165C4">
        <w:rPr>
          <w:lang w:eastAsia="el-GR"/>
        </w:rPr>
        <w:t>κνωτή).</w:t>
      </w:r>
    </w:p>
    <w:p w:rsidR="00704E12" w:rsidRDefault="00704E12" w:rsidP="002A78C0">
      <w:pPr>
        <w:rPr>
          <w:lang w:eastAsia="el-GR"/>
        </w:rPr>
      </w:pPr>
      <w:r>
        <w:rPr>
          <w:lang w:eastAsia="el-GR"/>
        </w:rPr>
        <w:t>Ας θυμηθούμε λοιπόν μερικά πράγματα από φορτισμένους αγωγούς.</w:t>
      </w:r>
    </w:p>
    <w:p w:rsidR="00A9293E" w:rsidRDefault="00A9293E" w:rsidP="002A78C0">
      <w:pPr>
        <w:rPr>
          <w:lang w:eastAsia="el-GR"/>
        </w:rPr>
      </w:pPr>
    </w:p>
    <w:p w:rsidR="00CB3101" w:rsidRDefault="00CB3101" w:rsidP="002A78C0">
      <w:pPr>
        <w:rPr>
          <w:lang w:eastAsia="el-GR"/>
        </w:rPr>
      </w:pPr>
    </w:p>
    <w:p w:rsidR="00CB3101" w:rsidRDefault="00CB3101" w:rsidP="002A78C0">
      <w:pPr>
        <w:rPr>
          <w:lang w:eastAsia="el-GR"/>
        </w:rPr>
      </w:pPr>
    </w:p>
    <w:p w:rsidR="00704E12" w:rsidRDefault="00704E12" w:rsidP="00704E12">
      <w:pPr>
        <w:pStyle w:val="10"/>
      </w:pPr>
      <w:r>
        <w:t xml:space="preserve">1. </w:t>
      </w:r>
      <w:r w:rsidR="00F17C9A">
        <w:t xml:space="preserve">Φορτισμένος </w:t>
      </w:r>
      <w:r>
        <w:t xml:space="preserve"> αγωγ</w:t>
      </w:r>
      <w:r w:rsidR="00F17C9A">
        <w:t>ός</w:t>
      </w:r>
      <w:r>
        <w:t>.</w:t>
      </w:r>
    </w:p>
    <w:p w:rsidR="00704E12" w:rsidRDefault="00704E12" w:rsidP="002A78C0">
      <w:pPr>
        <w:rPr>
          <w:lang w:eastAsia="el-GR"/>
        </w:rPr>
      </w:pPr>
      <w:r>
        <w:rPr>
          <w:lang w:eastAsia="el-GR"/>
        </w:rPr>
        <w:t xml:space="preserve">Έστω ότι διαθέτουμε ένα φορτισμένο αγωγό. Στην περίπτωση αυτή </w:t>
      </w:r>
      <w:r w:rsidR="00A9293E">
        <w:rPr>
          <w:lang w:eastAsia="el-GR"/>
        </w:rPr>
        <w:t>ενδιαφέρον παρο</w:t>
      </w:r>
      <w:r w:rsidR="00A9293E">
        <w:rPr>
          <w:lang w:eastAsia="el-GR"/>
        </w:rPr>
        <w:t>υ</w:t>
      </w:r>
      <w:r w:rsidR="00A9293E">
        <w:rPr>
          <w:lang w:eastAsia="el-GR"/>
        </w:rPr>
        <w:t>σιάζει</w:t>
      </w:r>
      <w:r>
        <w:rPr>
          <w:lang w:eastAsia="el-GR"/>
        </w:rPr>
        <w:t xml:space="preserve"> ένα</w:t>
      </w:r>
      <w:r w:rsidR="00A9293E">
        <w:rPr>
          <w:lang w:eastAsia="el-GR"/>
        </w:rPr>
        <w:t>ς</w:t>
      </w:r>
      <w:r>
        <w:rPr>
          <w:lang w:eastAsia="el-GR"/>
        </w:rPr>
        <w:t xml:space="preserve"> αγωγό σε </w:t>
      </w:r>
      <w:r w:rsidR="00502AD8">
        <w:rPr>
          <w:lang w:eastAsia="el-GR"/>
        </w:rPr>
        <w:t>ηλεκτροστατική ισορρ</w:t>
      </w:r>
      <w:r w:rsidR="00A40212">
        <w:rPr>
          <w:lang w:eastAsia="el-GR"/>
        </w:rPr>
        <w:t>οπία και οι βασικές ιδιότητες που περιγρ</w:t>
      </w:r>
      <w:r w:rsidR="00A40212">
        <w:rPr>
          <w:lang w:eastAsia="el-GR"/>
        </w:rPr>
        <w:t>ά</w:t>
      </w:r>
      <w:r w:rsidR="00A40212">
        <w:rPr>
          <w:lang w:eastAsia="el-GR"/>
        </w:rPr>
        <w:t>φουν την κατάσταση είναι:</w:t>
      </w:r>
    </w:p>
    <w:p w:rsidR="008866DA" w:rsidRDefault="008866DA" w:rsidP="008866DA">
      <w:pPr>
        <w:pStyle w:val="1"/>
      </w:pPr>
      <w:r>
        <w:t>Παντού στο εσωτερικό του το ηλεκτρικό πεδίο είναι μηδενικό (</w:t>
      </w:r>
      <w:r w:rsidRPr="00A40212">
        <w:rPr>
          <w:position w:val="-6"/>
        </w:rPr>
        <w:object w:dxaOrig="60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1pt;height:17.25pt" o:ole="">
            <v:imagedata r:id="rId7" o:title=""/>
          </v:shape>
          <o:OLEObject Type="Embed" ProgID="Equation.3" ShapeID="_x0000_i1025" DrawAspect="Content" ObjectID="_1440865047" r:id="rId8"/>
        </w:object>
      </w:r>
      <w:r>
        <w:t>).</w:t>
      </w:r>
    </w:p>
    <w:p w:rsidR="00A40212" w:rsidRDefault="00A40212" w:rsidP="00A40212">
      <w:pPr>
        <w:pStyle w:val="1"/>
      </w:pPr>
      <w:r>
        <w:t>Όλο το (πλεονασματικό) φορτίο του αγωγού είναι κατανεμημένο στην εξωτερική του επιφάνεια.</w:t>
      </w:r>
    </w:p>
    <w:p w:rsidR="00A40212" w:rsidRDefault="004A400C" w:rsidP="00A40212">
      <w:pPr>
        <w:pStyle w:val="1"/>
      </w:pPr>
      <w:r>
        <w:t xml:space="preserve">Οι δυναμικές γραμμές του ηλεκτρικού πεδίου που δημιουργεί, είναι κάθετες στην επιφάνεια του αγωγού, η δε ένταση του πεδίου, σε ένα σημείο πολύ κοντά στην επιφάνειά του, έχει μέτρο </w:t>
      </w:r>
      <w:r w:rsidRPr="004A400C">
        <w:rPr>
          <w:position w:val="-30"/>
        </w:rPr>
        <w:object w:dxaOrig="740" w:dyaOrig="680">
          <v:shape id="_x0000_i1026" type="#_x0000_t75" style="width:36.75pt;height:33.8pt" o:ole="">
            <v:imagedata r:id="rId9" o:title=""/>
          </v:shape>
          <o:OLEObject Type="Embed" ProgID="Equation.3" ShapeID="_x0000_i1026" DrawAspect="Content" ObjectID="_1440865048" r:id="rId10"/>
        </w:object>
      </w:r>
      <w:r>
        <w:t>,  όπου σ η επιφανειακή πυκνότητα φορτίου στην περιοχή της επιφάνειας αυτής.</w:t>
      </w:r>
    </w:p>
    <w:p w:rsidR="004A400C" w:rsidRDefault="00B206BB" w:rsidP="00A40212">
      <w:pPr>
        <w:pStyle w:val="1"/>
      </w:pPr>
      <w:r>
        <w:t xml:space="preserve">Εάν ο αγωγός έχει ακανόνιστο σχήμα, τότε τα φορτία δεν </w:t>
      </w:r>
      <w:proofErr w:type="spellStart"/>
      <w:r>
        <w:t>ισοκατανέμονται</w:t>
      </w:r>
      <w:proofErr w:type="spellEnd"/>
      <w:r>
        <w:t xml:space="preserve"> στην επιφάνειά του, αλλά παρουσιάζεται μεγαλύτερη επιφανειακή πυκνότητα φορτίου, στα σημεία της επιφάνειας με μικρότερη ακτίνα καμπυλότητας. Με άλλα λόγια στις ακίδες έχουμε μεγαλύτερη συγκέντρωση φορτίων.</w:t>
      </w:r>
    </w:p>
    <w:p w:rsidR="00D42D0F" w:rsidRDefault="00A9293E" w:rsidP="00CE63A8">
      <w:pPr>
        <w:widowControl w:val="0"/>
      </w:pPr>
      <w:r>
        <w:t xml:space="preserve">Ας δούμε λίγο αναλυτικά τις παραπάνω παραδοχές, παίρνοντας ως παράδειγμα </w:t>
      </w:r>
      <w:r w:rsidR="00D42D0F">
        <w:t xml:space="preserve">μια </w:t>
      </w:r>
      <w:r w:rsidR="00D42D0F">
        <w:t>α</w:t>
      </w:r>
      <w:r w:rsidR="00D42D0F">
        <w:t>γώγιμη μεταλλική σφαίρα κέντρου Ο και ακτίνας R, η οποία είναι φορτισμένη</w:t>
      </w:r>
      <w:r>
        <w:t>,</w:t>
      </w:r>
      <w:r w:rsidR="00D42D0F">
        <w:t xml:space="preserve"> φέρ</w:t>
      </w:r>
      <w:r w:rsidR="00D42D0F">
        <w:t>ο</w:t>
      </w:r>
      <w:r w:rsidR="00D42D0F">
        <w:t>ντας θετικό φορτίο +Q. Το ηλεκτρικό της πεδίο είναι όπως αυτό του σχήματος:</w:t>
      </w:r>
    </w:p>
    <w:p w:rsidR="00D42D0F" w:rsidRDefault="00D96AE1" w:rsidP="00D42D0F">
      <w:pPr>
        <w:jc w:val="center"/>
      </w:pPr>
      <w:r w:rsidRPr="00D96AE1">
        <w:rPr>
          <w:noProof/>
          <w:lang w:eastAsia="el-GR"/>
        </w:rPr>
        <w:lastRenderedPageBreak/>
        <w:drawing>
          <wp:inline distT="0" distB="0" distL="0" distR="0">
            <wp:extent cx="1744436" cy="1744436"/>
            <wp:effectExtent l="19050" t="0" r="8164" b="0"/>
            <wp:docPr id="35" name="Εικόνα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723" cy="1745723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6FB" w:rsidRDefault="005F32B4" w:rsidP="00FB76FB">
      <w:pPr>
        <w:rPr>
          <w:lang w:eastAsia="el-GR"/>
        </w:rPr>
      </w:pPr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1053465</wp:posOffset>
            </wp:positionV>
            <wp:extent cx="1800225" cy="1799590"/>
            <wp:effectExtent l="19050" t="0" r="9525" b="0"/>
            <wp:wrapSquare wrapText="bothSides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79959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76FB">
        <w:t>Στο εσωτερικό της σφαίρας η ένταση είναι παντού μηδενική, αφού αν υποθέσουμε ότι σε κάποιο σημείο υπήρχε ηλεκτρικό πεδίο κάποιας έντασης, το αποτέλεσμα θα ήταν</w:t>
      </w:r>
      <w:r w:rsidR="00A9293E">
        <w:t>,</w:t>
      </w:r>
      <w:r w:rsidR="00FB76FB">
        <w:t xml:space="preserve"> να ασκούσε δύναμη στα ελεύθερα ηλεκτρόνια του αγωγού. Αλλά τότε θα είχαμε κίνηση φορτίων και ο αγωγός δεν θα ήταν σε </w:t>
      </w:r>
      <w:r w:rsidR="00FB76FB">
        <w:rPr>
          <w:lang w:eastAsia="el-GR"/>
        </w:rPr>
        <w:t xml:space="preserve">ηλεκτροστατική ισορροπία. </w:t>
      </w:r>
    </w:p>
    <w:p w:rsidR="00632E85" w:rsidRDefault="00632E85" w:rsidP="00FB76FB">
      <w:pPr>
        <w:rPr>
          <w:lang w:eastAsia="el-GR"/>
        </w:rPr>
      </w:pPr>
      <w:r w:rsidRPr="00632E85">
        <w:t xml:space="preserve"> </w:t>
      </w:r>
      <w:r>
        <w:rPr>
          <w:lang w:eastAsia="el-GR"/>
        </w:rPr>
        <w:t xml:space="preserve">Αλλά εφαρμόζοντας το νόμο του </w:t>
      </w:r>
      <w:proofErr w:type="spellStart"/>
      <w:r>
        <w:rPr>
          <w:lang w:eastAsia="el-GR"/>
        </w:rPr>
        <w:t>Gauss</w:t>
      </w:r>
      <w:proofErr w:type="spellEnd"/>
      <w:r>
        <w:rPr>
          <w:lang w:eastAsia="el-GR"/>
        </w:rPr>
        <w:t xml:space="preserve"> για μια τυχαία κλειστή επιφάνεια, όπως αυτή του διπλανού σχήματος, θα είχαμε:</w:t>
      </w:r>
    </w:p>
    <w:p w:rsidR="008D1DED" w:rsidRDefault="00932611" w:rsidP="00B17253">
      <w:pPr>
        <w:jc w:val="center"/>
        <w:rPr>
          <w:lang w:eastAsia="el-GR"/>
        </w:rPr>
      </w:pPr>
      <w:r w:rsidRPr="00932611">
        <w:rPr>
          <w:position w:val="-30"/>
          <w:lang w:eastAsia="el-GR"/>
        </w:rPr>
        <w:object w:dxaOrig="1060" w:dyaOrig="700">
          <v:shape id="_x0000_i1027" type="#_x0000_t75" style="width:53.25pt;height:35.25pt" o:ole="">
            <v:imagedata r:id="rId13" o:title=""/>
          </v:shape>
          <o:OLEObject Type="Embed" ProgID="Equation.3" ShapeID="_x0000_i1027" DrawAspect="Content" ObjectID="_1440865049" r:id="rId14"/>
        </w:object>
      </w:r>
      <w:r>
        <w:rPr>
          <w:lang w:eastAsia="el-GR"/>
        </w:rPr>
        <w:t xml:space="preserve"> ή</w:t>
      </w:r>
    </w:p>
    <w:p w:rsidR="00932611" w:rsidRDefault="00B17253" w:rsidP="00B17253">
      <w:pPr>
        <w:jc w:val="center"/>
        <w:rPr>
          <w:lang w:eastAsia="el-GR"/>
        </w:rPr>
      </w:pPr>
      <w:r w:rsidRPr="00932611">
        <w:rPr>
          <w:position w:val="-30"/>
          <w:lang w:eastAsia="el-GR"/>
        </w:rPr>
        <w:object w:dxaOrig="1719" w:dyaOrig="700">
          <v:shape id="_x0000_i1028" type="#_x0000_t75" style="width:86.35pt;height:35.25pt" o:ole="">
            <v:imagedata r:id="rId15" o:title=""/>
          </v:shape>
          <o:OLEObject Type="Embed" ProgID="Equation.3" ShapeID="_x0000_i1028" DrawAspect="Content" ObjectID="_1440865050" r:id="rId16"/>
        </w:object>
      </w:r>
      <w:r>
        <w:rPr>
          <w:lang w:eastAsia="el-GR"/>
        </w:rPr>
        <w:t>→ q</w:t>
      </w:r>
      <w:r>
        <w:rPr>
          <w:vertAlign w:val="subscript"/>
          <w:lang w:eastAsia="el-GR"/>
        </w:rPr>
        <w:t>ολ</w:t>
      </w:r>
      <w:r>
        <w:rPr>
          <w:lang w:eastAsia="el-GR"/>
        </w:rPr>
        <w:t>=0</w:t>
      </w:r>
    </w:p>
    <w:p w:rsidR="00B17253" w:rsidRDefault="00B17253" w:rsidP="00FB76FB">
      <w:pPr>
        <w:rPr>
          <w:lang w:eastAsia="el-GR"/>
        </w:rPr>
      </w:pPr>
      <w:r>
        <w:rPr>
          <w:lang w:eastAsia="el-GR"/>
        </w:rPr>
        <w:t xml:space="preserve">Όπου </w:t>
      </w:r>
      <w:proofErr w:type="spellStart"/>
      <w:r>
        <w:rPr>
          <w:lang w:eastAsia="el-GR"/>
        </w:rPr>
        <w:t>q</w:t>
      </w:r>
      <w:r>
        <w:rPr>
          <w:vertAlign w:val="subscript"/>
          <w:lang w:eastAsia="el-GR"/>
        </w:rPr>
        <w:t>ολ</w:t>
      </w:r>
      <w:proofErr w:type="spellEnd"/>
      <w:r>
        <w:rPr>
          <w:lang w:eastAsia="el-GR"/>
        </w:rPr>
        <w:t xml:space="preserve"> το ολικό φορτίο που περικλείεται από την κλειστή επιφάνεια, που στο σχήμα μας έχει γαλάζιο χρώμα.</w:t>
      </w:r>
    </w:p>
    <w:p w:rsidR="0095136F" w:rsidRDefault="0095136F" w:rsidP="00FB76FB">
      <w:pPr>
        <w:rPr>
          <w:lang w:eastAsia="el-GR"/>
        </w:rPr>
      </w:pPr>
      <w:r>
        <w:rPr>
          <w:lang w:eastAsia="el-GR"/>
        </w:rPr>
        <w:t>Αλλά με την λογική αυτή όσο και να μεγαλώσουμε την κλειστή μας επιφάνεια, αρκεί να είναι στο εσωτερικό της σφαίρας, πάντα θα ισχύει ότι το φορτίο που περικλείει είναι μηδενικό.</w:t>
      </w:r>
    </w:p>
    <w:p w:rsidR="0095136F" w:rsidRDefault="0095136F" w:rsidP="00FB76FB">
      <w:pPr>
        <w:rPr>
          <w:lang w:eastAsia="el-GR"/>
        </w:rPr>
      </w:pPr>
      <w:r>
        <w:rPr>
          <w:lang w:eastAsia="el-GR"/>
        </w:rPr>
        <w:t>Δεν μένει από το να δεχτούμε, ότι το συνολικό φορτίο της σφαίρας κατανέμεται λοιπόν στην εξωτερική της επιφάνεια.</w:t>
      </w:r>
    </w:p>
    <w:p w:rsidR="0095136F" w:rsidRDefault="00AC2411" w:rsidP="00FB76FB">
      <w:pPr>
        <w:rPr>
          <w:lang w:eastAsia="el-GR"/>
        </w:rPr>
      </w:pPr>
      <w:r w:rsidRPr="00AC2411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739009" y="5202621"/>
            <wp:positionH relativeFrom="column">
              <wp:align>right</wp:align>
            </wp:positionH>
            <wp:positionV relativeFrom="paragraph">
              <wp:posOffset>0</wp:posOffset>
            </wp:positionV>
            <wp:extent cx="1221170" cy="1024758"/>
            <wp:effectExtent l="19050" t="0" r="0" b="0"/>
            <wp:wrapSquare wrapText="bothSides"/>
            <wp:docPr id="34" name="Εικόνα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70" cy="1024758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66DA">
        <w:rPr>
          <w:lang w:eastAsia="el-GR"/>
        </w:rPr>
        <w:t xml:space="preserve">Αλλά γιατί η ένταση να είναι κάθετη στην επιφάνεια; </w:t>
      </w:r>
    </w:p>
    <w:p w:rsidR="00AC2411" w:rsidRDefault="008866DA" w:rsidP="00AC2411">
      <w:pPr>
        <w:rPr>
          <w:lang w:eastAsia="el-GR"/>
        </w:rPr>
      </w:pPr>
      <w:r>
        <w:rPr>
          <w:lang w:eastAsia="el-GR"/>
        </w:rPr>
        <w:t xml:space="preserve">Έστω ότι κάτι τέτοιο δεν συμβαίνει και η ένταση σε ένα σημείο της επιφάνειας, έχει την διεύθυνση του σχήματος, τότε θα είχαμε συνιστώσα </w:t>
      </w:r>
      <w:proofErr w:type="spellStart"/>
      <w:r>
        <w:rPr>
          <w:lang w:eastAsia="el-GR"/>
        </w:rPr>
        <w:t>Ε</w:t>
      </w:r>
      <w:r>
        <w:rPr>
          <w:vertAlign w:val="subscript"/>
          <w:lang w:eastAsia="el-GR"/>
        </w:rPr>
        <w:t>x</w:t>
      </w:r>
      <w:proofErr w:type="spellEnd"/>
      <w:r w:rsidR="00AC2411">
        <w:rPr>
          <w:lang w:eastAsia="el-GR"/>
        </w:rPr>
        <w:t xml:space="preserve"> πα</w:t>
      </w:r>
      <w:r>
        <w:rPr>
          <w:lang w:eastAsia="el-GR"/>
        </w:rPr>
        <w:t>ράλληλη στην επιφάνεια, με αποτέλεσμα τα φορτία της επιφάνειας</w:t>
      </w:r>
      <w:r w:rsidR="00AC2411">
        <w:rPr>
          <w:lang w:eastAsia="el-GR"/>
        </w:rPr>
        <w:t xml:space="preserve"> στο σημείο αυτό, θα δεχόταν δύναμη και θα κινούντο</w:t>
      </w:r>
      <w:r w:rsidR="00635A6D">
        <w:rPr>
          <w:lang w:eastAsia="el-GR"/>
        </w:rPr>
        <w:t>, παράλλ</w:t>
      </w:r>
      <w:r w:rsidR="00635A6D">
        <w:rPr>
          <w:lang w:eastAsia="el-GR"/>
        </w:rPr>
        <w:t>η</w:t>
      </w:r>
      <w:r w:rsidR="00635A6D">
        <w:rPr>
          <w:lang w:eastAsia="el-GR"/>
        </w:rPr>
        <w:t>λα στην επιφάνεια</w:t>
      </w:r>
      <w:r w:rsidR="00AC2411">
        <w:rPr>
          <w:lang w:eastAsia="el-GR"/>
        </w:rPr>
        <w:t>. Αλλά τότε δεν θα είχαμε</w:t>
      </w:r>
      <w:r w:rsidR="00A5462E">
        <w:rPr>
          <w:lang w:eastAsia="el-GR"/>
        </w:rPr>
        <w:t xml:space="preserve"> ξανά</w:t>
      </w:r>
      <w:r w:rsidR="00AC2411">
        <w:rPr>
          <w:lang w:eastAsia="el-GR"/>
        </w:rPr>
        <w:t xml:space="preserve"> ηλεκτροστατική ισορροπία. </w:t>
      </w:r>
    </w:p>
    <w:p w:rsidR="00635A6D" w:rsidRDefault="00635A6D" w:rsidP="00CB3101">
      <w:pPr>
        <w:widowControl w:val="0"/>
        <w:rPr>
          <w:lang w:eastAsia="el-GR"/>
        </w:rPr>
      </w:pPr>
      <w:r>
        <w:rPr>
          <w:lang w:eastAsia="el-GR"/>
        </w:rPr>
        <w:t>Ας επιστρέψουμε τώρα στην φορτισμένη σφαίρα και ας πάρουμε μια ομόκεντρη σφα</w:t>
      </w:r>
      <w:r>
        <w:rPr>
          <w:lang w:eastAsia="el-GR"/>
        </w:rPr>
        <w:t>ι</w:t>
      </w:r>
      <w:r>
        <w:rPr>
          <w:lang w:eastAsia="el-GR"/>
        </w:rPr>
        <w:t>ρική επιφάνεια με ακτίνα απειροελάχιστα μεγαλύτερη της ακτίνας R της σφαίρας. Λ</w:t>
      </w:r>
      <w:r>
        <w:rPr>
          <w:lang w:eastAsia="el-GR"/>
        </w:rPr>
        <w:t>ό</w:t>
      </w:r>
      <w:r>
        <w:rPr>
          <w:lang w:eastAsia="el-GR"/>
        </w:rPr>
        <w:lastRenderedPageBreak/>
        <w:t>γω σφαιρικής συμμετρίας σε όλα τα σημεία της επιφάνειας η ένταση θα έχει το ίδιο μ</w:t>
      </w:r>
      <w:r>
        <w:rPr>
          <w:lang w:eastAsia="el-GR"/>
        </w:rPr>
        <w:t>έ</w:t>
      </w:r>
      <w:r>
        <w:rPr>
          <w:lang w:eastAsia="el-GR"/>
        </w:rPr>
        <w:t>τρο</w:t>
      </w:r>
      <w:r w:rsidR="0051356F">
        <w:rPr>
          <w:lang w:eastAsia="el-GR"/>
        </w:rPr>
        <w:t xml:space="preserve"> Ε.</w:t>
      </w:r>
    </w:p>
    <w:p w:rsidR="00635A6D" w:rsidRDefault="00635A6D" w:rsidP="00635A6D">
      <w:pPr>
        <w:rPr>
          <w:lang w:eastAsia="el-GR"/>
        </w:rPr>
      </w:pPr>
      <w:r>
        <w:rPr>
          <w:lang w:eastAsia="el-GR"/>
        </w:rPr>
        <w:t xml:space="preserve">Με εφαρμογή του νόμου του </w:t>
      </w:r>
      <w:proofErr w:type="spellStart"/>
      <w:r>
        <w:rPr>
          <w:lang w:eastAsia="el-GR"/>
        </w:rPr>
        <w:t>Gauss</w:t>
      </w:r>
      <w:proofErr w:type="spellEnd"/>
      <w:r>
        <w:rPr>
          <w:lang w:eastAsia="el-GR"/>
        </w:rPr>
        <w:t>, θα είχαμε:</w:t>
      </w:r>
    </w:p>
    <w:p w:rsidR="00635A6D" w:rsidRDefault="00635A6D" w:rsidP="00635A6D">
      <w:pPr>
        <w:jc w:val="center"/>
        <w:rPr>
          <w:lang w:eastAsia="el-GR"/>
        </w:rPr>
      </w:pPr>
      <w:r w:rsidRPr="00932611">
        <w:rPr>
          <w:position w:val="-30"/>
          <w:lang w:eastAsia="el-GR"/>
        </w:rPr>
        <w:object w:dxaOrig="1060" w:dyaOrig="700">
          <v:shape id="_x0000_i1029" type="#_x0000_t75" style="width:53.25pt;height:35.25pt" o:ole="">
            <v:imagedata r:id="rId13" o:title=""/>
          </v:shape>
          <o:OLEObject Type="Embed" ProgID="Equation.3" ShapeID="_x0000_i1029" DrawAspect="Content" ObjectID="_1440865051" r:id="rId18"/>
        </w:object>
      </w:r>
      <w:r>
        <w:rPr>
          <w:lang w:eastAsia="el-GR"/>
        </w:rPr>
        <w:t xml:space="preserve"> ή</w:t>
      </w:r>
    </w:p>
    <w:p w:rsidR="00635A6D" w:rsidRDefault="0051356F" w:rsidP="00635A6D">
      <w:pPr>
        <w:jc w:val="center"/>
        <w:rPr>
          <w:lang w:eastAsia="el-GR"/>
        </w:rPr>
      </w:pPr>
      <w:r w:rsidRPr="00932611">
        <w:rPr>
          <w:position w:val="-30"/>
          <w:lang w:eastAsia="el-GR"/>
        </w:rPr>
        <w:object w:dxaOrig="1260" w:dyaOrig="680">
          <v:shape id="_x0000_i1030" type="#_x0000_t75" style="width:63.2pt;height:33.8pt" o:ole="">
            <v:imagedata r:id="rId19" o:title=""/>
          </v:shape>
          <o:OLEObject Type="Embed" ProgID="Equation.3" ShapeID="_x0000_i1030" DrawAspect="Content" ObjectID="_1440865052" r:id="rId20"/>
        </w:object>
      </w:r>
      <w:r w:rsidR="00635A6D">
        <w:rPr>
          <w:lang w:eastAsia="el-GR"/>
        </w:rPr>
        <w:t>→</w:t>
      </w:r>
      <w:r>
        <w:rPr>
          <w:lang w:eastAsia="el-GR"/>
        </w:rPr>
        <w:t xml:space="preserve"> </w:t>
      </w:r>
    </w:p>
    <w:p w:rsidR="0051356F" w:rsidRDefault="0051356F" w:rsidP="00635A6D">
      <w:pPr>
        <w:jc w:val="center"/>
        <w:rPr>
          <w:lang w:eastAsia="el-GR"/>
        </w:rPr>
      </w:pPr>
      <w:r w:rsidRPr="00932611">
        <w:rPr>
          <w:position w:val="-30"/>
          <w:lang w:eastAsia="el-GR"/>
        </w:rPr>
        <w:object w:dxaOrig="2780" w:dyaOrig="680">
          <v:shape id="_x0000_i1031" type="#_x0000_t75" style="width:138.5pt;height:33.8pt" o:ole="">
            <v:imagedata r:id="rId21" o:title=""/>
          </v:shape>
          <o:OLEObject Type="Embed" ProgID="Equation.3" ShapeID="_x0000_i1031" DrawAspect="Content" ObjectID="_1440865053" r:id="rId22"/>
        </w:object>
      </w:r>
      <w:r>
        <w:rPr>
          <w:lang w:eastAsia="el-GR"/>
        </w:rPr>
        <w:t xml:space="preserve"> ή</w:t>
      </w:r>
    </w:p>
    <w:p w:rsidR="0051356F" w:rsidRDefault="0051356F" w:rsidP="00635A6D">
      <w:pPr>
        <w:jc w:val="center"/>
        <w:rPr>
          <w:lang w:eastAsia="el-GR"/>
        </w:rPr>
      </w:pPr>
      <w:r w:rsidRPr="00932611">
        <w:rPr>
          <w:position w:val="-30"/>
          <w:lang w:eastAsia="el-GR"/>
        </w:rPr>
        <w:object w:dxaOrig="1260" w:dyaOrig="680">
          <v:shape id="_x0000_i1032" type="#_x0000_t75" style="width:63.2pt;height:33.8pt" o:ole="">
            <v:imagedata r:id="rId23" o:title=""/>
          </v:shape>
          <o:OLEObject Type="Embed" ProgID="Equation.3" ShapeID="_x0000_i1032" DrawAspect="Content" ObjectID="_1440865054" r:id="rId24"/>
        </w:object>
      </w:r>
      <w:r w:rsidR="00F17C9A">
        <w:rPr>
          <w:lang w:eastAsia="el-GR"/>
        </w:rPr>
        <w:t xml:space="preserve"> (1)</w:t>
      </w:r>
    </w:p>
    <w:p w:rsidR="0051356F" w:rsidRDefault="0051356F" w:rsidP="0051356F">
      <w:pPr>
        <w:rPr>
          <w:lang w:eastAsia="el-GR"/>
        </w:rPr>
      </w:pPr>
      <w:r>
        <w:rPr>
          <w:lang w:eastAsia="el-GR"/>
        </w:rPr>
        <w:t>Παρατηρούμε δηλαδή ότι η ένταση σε σημεία, πολύ κοντά στην επιφάνεια της σφαίρας, δίνεται από την γνωστή μας σχέση που ξέρουμε για το ηλεκτρικό πεδίο σημειακού φο</w:t>
      </w:r>
      <w:r>
        <w:rPr>
          <w:lang w:eastAsia="el-GR"/>
        </w:rPr>
        <w:t>ρ</w:t>
      </w:r>
      <w:r>
        <w:rPr>
          <w:lang w:eastAsia="el-GR"/>
        </w:rPr>
        <w:t>τίου. Ή να το πούμε με άλλα λόγια, το ηλεκτρικό πεδίο στο εξωτερικό μιας φορτισμ</w:t>
      </w:r>
      <w:r>
        <w:rPr>
          <w:lang w:eastAsia="el-GR"/>
        </w:rPr>
        <w:t>έ</w:t>
      </w:r>
      <w:r>
        <w:rPr>
          <w:lang w:eastAsia="el-GR"/>
        </w:rPr>
        <w:t>νης σφαίρας, είναι απολύτως ίδιο με το ηλεκτρικό πεδίο που θα είχαμε, αν το φορτίο ήταν συγκεντρωμένο στο κέντρο της.</w:t>
      </w:r>
    </w:p>
    <w:p w:rsidR="00F17C9A" w:rsidRDefault="00F17C9A" w:rsidP="0051356F">
      <w:r>
        <w:rPr>
          <w:lang w:eastAsia="el-GR"/>
        </w:rPr>
        <w:t>Εξάλλου το εμβαδόν της παραπάνω σφαίρας είναι Α=</w:t>
      </w:r>
      <w:r w:rsidRPr="00F17C9A">
        <w:rPr>
          <w:position w:val="-6"/>
          <w:lang w:eastAsia="el-GR"/>
        </w:rPr>
        <w:object w:dxaOrig="560" w:dyaOrig="320">
          <v:shape id="_x0000_i1033" type="#_x0000_t75" style="width:27.55pt;height:15.45pt" o:ole="">
            <v:imagedata r:id="rId25" o:title=""/>
          </v:shape>
          <o:OLEObject Type="Embed" ProgID="Equation.3" ShapeID="_x0000_i1033" DrawAspect="Content" ObjectID="_1440865055" r:id="rId26"/>
        </w:object>
      </w:r>
      <w:r>
        <w:rPr>
          <w:lang w:eastAsia="el-GR"/>
        </w:rPr>
        <w:t xml:space="preserve"> συνεπώς η επιφανειακή πυκνότητα φορτίου θα είναι </w:t>
      </w:r>
      <w:r w:rsidRPr="00F17C9A">
        <w:rPr>
          <w:position w:val="-24"/>
        </w:rPr>
        <w:object w:dxaOrig="1480" w:dyaOrig="620">
          <v:shape id="_x0000_i1034" type="#_x0000_t75" style="width:74.2pt;height:30.5pt" o:ole="">
            <v:imagedata r:id="rId27" o:title=""/>
          </v:shape>
          <o:OLEObject Type="Embed" ProgID="Equation.3" ShapeID="_x0000_i1034" DrawAspect="Content" ObjectID="_1440865056" r:id="rId28"/>
        </w:object>
      </w:r>
      <w:r>
        <w:t xml:space="preserve"> και η σχέση (1) γίνεται:</w:t>
      </w:r>
    </w:p>
    <w:p w:rsidR="00F17C9A" w:rsidRDefault="00F17C9A" w:rsidP="00F17C9A">
      <w:pPr>
        <w:jc w:val="center"/>
        <w:rPr>
          <w:lang w:eastAsia="el-GR"/>
        </w:rPr>
      </w:pPr>
      <w:r w:rsidRPr="00932611">
        <w:rPr>
          <w:position w:val="-30"/>
          <w:lang w:eastAsia="el-GR"/>
        </w:rPr>
        <w:object w:dxaOrig="740" w:dyaOrig="680">
          <v:shape id="_x0000_i1035" type="#_x0000_t75" style="width:36.75pt;height:33.8pt" o:ole="">
            <v:imagedata r:id="rId29" o:title=""/>
          </v:shape>
          <o:OLEObject Type="Embed" ProgID="Equation.3" ShapeID="_x0000_i1035" DrawAspect="Content" ObjectID="_1440865057" r:id="rId30"/>
        </w:object>
      </w:r>
    </w:p>
    <w:p w:rsidR="00F17C9A" w:rsidRDefault="00AD1069" w:rsidP="00F17C9A">
      <w:pPr>
        <w:rPr>
          <w:lang w:eastAsia="el-GR"/>
        </w:rPr>
      </w:pPr>
      <w:r w:rsidRPr="00AD1069"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739009" y="3584028"/>
            <wp:positionH relativeFrom="column">
              <wp:align>right</wp:align>
            </wp:positionH>
            <wp:positionV relativeFrom="paragraph">
              <wp:posOffset>3810</wp:posOffset>
            </wp:positionV>
            <wp:extent cx="1017839" cy="1051034"/>
            <wp:effectExtent l="19050" t="0" r="0" b="0"/>
            <wp:wrapSquare wrapText="bothSides"/>
            <wp:docPr id="72" name="Εικόνα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839" cy="1051034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1069">
        <w:t xml:space="preserve"> </w:t>
      </w:r>
      <w:r w:rsidR="00F17C9A">
        <w:rPr>
          <w:lang w:eastAsia="el-GR"/>
        </w:rPr>
        <w:t>Σχέση</w:t>
      </w:r>
      <w:r w:rsidR="00671E42">
        <w:rPr>
          <w:lang w:eastAsia="el-GR"/>
        </w:rPr>
        <w:t>,</w:t>
      </w:r>
      <w:r w:rsidR="00F17C9A">
        <w:rPr>
          <w:lang w:eastAsia="el-GR"/>
        </w:rPr>
        <w:t xml:space="preserve"> που ισχύει και σε κάθε περίπτωση, αφού και σε μια τυχαίου σχήματος επιφάνεια, όπως αυτή του διπλανού σχήματος, θα μπορο</w:t>
      </w:r>
      <w:r w:rsidR="00F17C9A">
        <w:rPr>
          <w:lang w:eastAsia="el-GR"/>
        </w:rPr>
        <w:t>ύ</w:t>
      </w:r>
      <w:r w:rsidR="00F17C9A">
        <w:rPr>
          <w:lang w:eastAsia="el-GR"/>
        </w:rPr>
        <w:t xml:space="preserve">σαμε να πάρουμε σαν επιφάνεια </w:t>
      </w:r>
      <w:proofErr w:type="spellStart"/>
      <w:r w:rsidR="00F17C9A">
        <w:rPr>
          <w:lang w:eastAsia="el-GR"/>
        </w:rPr>
        <w:t>Gauss</w:t>
      </w:r>
      <w:proofErr w:type="spellEnd"/>
      <w:r w:rsidR="00F17C9A">
        <w:rPr>
          <w:lang w:eastAsia="el-GR"/>
        </w:rPr>
        <w:t>, την επιφάνεια ενός μικρού κυλίνδρου</w:t>
      </w:r>
      <w:r w:rsidR="008C5215">
        <w:rPr>
          <w:lang w:eastAsia="el-GR"/>
        </w:rPr>
        <w:t xml:space="preserve"> με βάση ίση με το στοιχειώδες τμήμα </w:t>
      </w:r>
      <w:proofErr w:type="spellStart"/>
      <w:r w:rsidR="008C5215">
        <w:rPr>
          <w:lang w:eastAsia="el-GR"/>
        </w:rPr>
        <w:t>dΑ</w:t>
      </w:r>
      <w:proofErr w:type="spellEnd"/>
      <w:r w:rsidR="008C5215">
        <w:rPr>
          <w:lang w:eastAsia="el-GR"/>
        </w:rPr>
        <w:t xml:space="preserve"> της επιφάνειας, οπότε:</w:t>
      </w:r>
    </w:p>
    <w:p w:rsidR="004E3319" w:rsidRDefault="004E3319" w:rsidP="00671E42">
      <w:pPr>
        <w:jc w:val="center"/>
        <w:rPr>
          <w:lang w:eastAsia="el-GR"/>
        </w:rPr>
      </w:pPr>
      <w:r w:rsidRPr="00932611">
        <w:rPr>
          <w:position w:val="-30"/>
          <w:lang w:eastAsia="el-GR"/>
        </w:rPr>
        <w:object w:dxaOrig="1320" w:dyaOrig="680">
          <v:shape id="_x0000_i1036" type="#_x0000_t75" style="width:65.75pt;height:34.15pt" o:ole="">
            <v:imagedata r:id="rId32" o:title=""/>
          </v:shape>
          <o:OLEObject Type="Embed" ProgID="Equation.3" ShapeID="_x0000_i1036" DrawAspect="Content" ObjectID="_1440865058" r:id="rId33"/>
        </w:object>
      </w:r>
    </w:p>
    <w:p w:rsidR="008C5215" w:rsidRDefault="004E3319" w:rsidP="00671E42">
      <w:pPr>
        <w:jc w:val="center"/>
        <w:rPr>
          <w:lang w:eastAsia="el-GR"/>
        </w:rPr>
      </w:pPr>
      <w:r w:rsidRPr="002E1933">
        <w:rPr>
          <w:position w:val="-30"/>
        </w:rPr>
        <w:object w:dxaOrig="1140" w:dyaOrig="680">
          <v:shape id="_x0000_i1037" type="#_x0000_t75" style="width:56.95pt;height:34.15pt" o:ole="">
            <v:imagedata r:id="rId34" o:title=""/>
          </v:shape>
          <o:OLEObject Type="Embed" ProgID="Equation.3" ShapeID="_x0000_i1037" DrawAspect="Content" ObjectID="_1440865059" r:id="rId35"/>
        </w:object>
      </w:r>
      <w:r w:rsidR="00671E42">
        <w:rPr>
          <w:lang w:eastAsia="el-GR"/>
        </w:rPr>
        <w:t>→</w:t>
      </w:r>
    </w:p>
    <w:p w:rsidR="00671E42" w:rsidRDefault="00F45EB7" w:rsidP="00671E42">
      <w:pPr>
        <w:jc w:val="center"/>
        <w:rPr>
          <w:lang w:eastAsia="el-GR"/>
        </w:rPr>
      </w:pPr>
      <w:r w:rsidRPr="00932611">
        <w:rPr>
          <w:position w:val="-30"/>
          <w:lang w:eastAsia="el-GR"/>
        </w:rPr>
        <w:object w:dxaOrig="1540" w:dyaOrig="680">
          <v:shape id="_x0000_i1038" type="#_x0000_t75" style="width:77.5pt;height:33.8pt" o:ole="">
            <v:imagedata r:id="rId36" o:title=""/>
          </v:shape>
          <o:OLEObject Type="Embed" ProgID="Equation.3" ShapeID="_x0000_i1038" DrawAspect="Content" ObjectID="_1440865060" r:id="rId37"/>
        </w:object>
      </w:r>
    </w:p>
    <w:p w:rsidR="005F32B4" w:rsidRDefault="005F32B4" w:rsidP="00671E42">
      <w:pPr>
        <w:jc w:val="center"/>
        <w:rPr>
          <w:lang w:eastAsia="el-GR"/>
        </w:rPr>
      </w:pPr>
    </w:p>
    <w:p w:rsidR="00635A6D" w:rsidRDefault="00F1744A" w:rsidP="00AC2411">
      <w:pPr>
        <w:rPr>
          <w:lang w:eastAsia="el-GR"/>
        </w:rPr>
      </w:pPr>
      <w:r w:rsidRPr="00F1744A">
        <w:rPr>
          <w:noProof/>
          <w:lang w:eastAsia="el-GR"/>
        </w:rPr>
        <w:lastRenderedPageBreak/>
        <w:drawing>
          <wp:anchor distT="0" distB="0" distL="114300" distR="114300" simplePos="0" relativeHeight="251661312" behindDoc="0" locked="0" layoutInCell="1" allowOverlap="1">
            <wp:simplePos x="741539" y="7862711"/>
            <wp:positionH relativeFrom="column">
              <wp:align>right</wp:align>
            </wp:positionH>
            <wp:positionV relativeFrom="paragraph">
              <wp:posOffset>0</wp:posOffset>
            </wp:positionV>
            <wp:extent cx="1674283" cy="1337733"/>
            <wp:effectExtent l="19050" t="0" r="2117" b="0"/>
            <wp:wrapSquare wrapText="bothSides"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283" cy="1337733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00AE">
        <w:rPr>
          <w:lang w:eastAsia="el-GR"/>
        </w:rPr>
        <w:t>Τέλος αν δούμε την κατανομή των φορτίων στην επιφ</w:t>
      </w:r>
      <w:r w:rsidR="006F00AE">
        <w:rPr>
          <w:lang w:eastAsia="el-GR"/>
        </w:rPr>
        <w:t>ά</w:t>
      </w:r>
      <w:r w:rsidR="006F00AE">
        <w:rPr>
          <w:lang w:eastAsia="el-GR"/>
        </w:rPr>
        <w:t>νεια στην περίπτωση που ο αγωγός παρουσιάζει μια ακ</w:t>
      </w:r>
      <w:r w:rsidR="006F00AE">
        <w:rPr>
          <w:lang w:eastAsia="el-GR"/>
        </w:rPr>
        <w:t>ί</w:t>
      </w:r>
      <w:r w:rsidR="006F00AE">
        <w:rPr>
          <w:lang w:eastAsia="el-GR"/>
        </w:rPr>
        <w:t>δα, θα πάρουμε την εικόνα του διπλανού σχήματος. Στην περιοχή της ακίδας παρουσιάζεται μεγάλη συγκέντρωση φορτίων. Παλιότερα αυτό λεγόταν «</w:t>
      </w:r>
      <w:r w:rsidR="006F00AE" w:rsidRPr="00CE63A8">
        <w:rPr>
          <w:b/>
          <w:lang w:eastAsia="el-GR"/>
        </w:rPr>
        <w:t>η δύναμη των ακ</w:t>
      </w:r>
      <w:r w:rsidR="006F00AE" w:rsidRPr="00CE63A8">
        <w:rPr>
          <w:b/>
          <w:lang w:eastAsia="el-GR"/>
        </w:rPr>
        <w:t>ί</w:t>
      </w:r>
      <w:r w:rsidR="006F00AE" w:rsidRPr="00CE63A8">
        <w:rPr>
          <w:b/>
          <w:lang w:eastAsia="el-GR"/>
        </w:rPr>
        <w:t>δων</w:t>
      </w:r>
      <w:r w:rsidR="006F00AE">
        <w:rPr>
          <w:lang w:eastAsia="el-GR"/>
        </w:rPr>
        <w:t>», πάνω στην οποία  στηρ</w:t>
      </w:r>
      <w:r w:rsidR="00CE63A8">
        <w:rPr>
          <w:lang w:eastAsia="el-GR"/>
        </w:rPr>
        <w:t>ίζεται</w:t>
      </w:r>
      <w:r w:rsidR="006F00AE">
        <w:rPr>
          <w:lang w:eastAsia="el-GR"/>
        </w:rPr>
        <w:t xml:space="preserve"> η χρήση του αλεξικ</w:t>
      </w:r>
      <w:r w:rsidR="006F00AE">
        <w:rPr>
          <w:lang w:eastAsia="el-GR"/>
        </w:rPr>
        <w:t>έ</w:t>
      </w:r>
      <w:r w:rsidR="006F00AE">
        <w:rPr>
          <w:lang w:eastAsia="el-GR"/>
        </w:rPr>
        <w:t>ρα</w:t>
      </w:r>
      <w:r w:rsidR="006F00AE">
        <w:rPr>
          <w:lang w:eastAsia="el-GR"/>
        </w:rPr>
        <w:t>υ</w:t>
      </w:r>
      <w:r w:rsidR="006F00AE">
        <w:rPr>
          <w:lang w:eastAsia="el-GR"/>
        </w:rPr>
        <w:t>νου.</w:t>
      </w:r>
    </w:p>
    <w:p w:rsidR="006F00AE" w:rsidRDefault="006F00AE" w:rsidP="00AC2411">
      <w:pPr>
        <w:rPr>
          <w:lang w:eastAsia="el-GR"/>
        </w:rPr>
      </w:pPr>
    </w:p>
    <w:p w:rsidR="00FC3F31" w:rsidRPr="00433AFC" w:rsidRDefault="00FC3F31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FC3F31" w:rsidRDefault="00FC3F31" w:rsidP="00AC2411">
      <w:pPr>
        <w:rPr>
          <w:lang w:eastAsia="el-GR"/>
        </w:rPr>
      </w:pPr>
    </w:p>
    <w:sectPr w:rsidR="00FC3F31" w:rsidSect="00AA10EF">
      <w:headerReference w:type="default" r:id="rId39"/>
      <w:footerReference w:type="default" r:id="rId40"/>
      <w:pgSz w:w="11907" w:h="16840" w:code="9"/>
      <w:pgMar w:top="141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958" w:rsidRDefault="007D5958" w:rsidP="00F45EB7">
      <w:pPr>
        <w:spacing w:line="240" w:lineRule="auto"/>
      </w:pPr>
      <w:r>
        <w:separator/>
      </w:r>
    </w:p>
  </w:endnote>
  <w:endnote w:type="continuationSeparator" w:id="0">
    <w:p w:rsidR="007D5958" w:rsidRDefault="007D5958" w:rsidP="00F45EB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2C1" w:rsidRDefault="0070453F" w:rsidP="0015560B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8702C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02A87">
      <w:rPr>
        <w:rStyle w:val="a9"/>
        <w:noProof/>
      </w:rPr>
      <w:t>2</w:t>
    </w:r>
    <w:r>
      <w:rPr>
        <w:rStyle w:val="a9"/>
      </w:rPr>
      <w:fldChar w:fldCharType="end"/>
    </w:r>
  </w:p>
  <w:p w:rsidR="008702C1" w:rsidRPr="00D56705" w:rsidRDefault="008702C1" w:rsidP="0015560B">
    <w:pPr>
      <w:pStyle w:val="a8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8702C1" w:rsidRDefault="008702C1" w:rsidP="0015560B">
    <w:pPr>
      <w:pStyle w:val="a8"/>
    </w:pPr>
  </w:p>
  <w:p w:rsidR="008702C1" w:rsidRPr="005527BB" w:rsidRDefault="008702C1" w:rsidP="005527B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958" w:rsidRDefault="007D5958" w:rsidP="00F45EB7">
      <w:pPr>
        <w:spacing w:line="240" w:lineRule="auto"/>
      </w:pPr>
      <w:r>
        <w:separator/>
      </w:r>
    </w:p>
  </w:footnote>
  <w:footnote w:type="continuationSeparator" w:id="0">
    <w:p w:rsidR="007D5958" w:rsidRDefault="007D5958" w:rsidP="00F45EB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2C1" w:rsidRPr="00075414" w:rsidRDefault="008702C1" w:rsidP="00CE63A8">
    <w:pPr>
      <w:pStyle w:val="a7"/>
      <w:pBdr>
        <w:bottom w:val="single" w:sz="4" w:space="1" w:color="auto"/>
      </w:pBdr>
      <w:tabs>
        <w:tab w:val="clear" w:pos="4153"/>
        <w:tab w:val="clear" w:pos="8306"/>
        <w:tab w:val="right" w:pos="8505"/>
        <w:tab w:val="right" w:pos="11907"/>
      </w:tabs>
    </w:pPr>
    <w:r w:rsidRPr="001559DD">
      <w:rPr>
        <w:i/>
        <w:sz w:val="22"/>
      </w:rPr>
      <w:t>Υλικό Φυσικής-Χημείας</w:t>
    </w:r>
    <w:r w:rsidRPr="001559DD">
      <w:rPr>
        <w:i/>
        <w:sz w:val="22"/>
      </w:rPr>
      <w:tab/>
      <w:t>Το ηλεκτρικό ρεύμα και οι πηγές του</w:t>
    </w:r>
    <w:r>
      <w:tab/>
    </w:r>
    <w:r>
      <w:tab/>
      <w:t xml:space="preserve">  </w:t>
    </w:r>
    <w:r w:rsidRPr="00C51698">
      <w:tab/>
    </w:r>
    <w:r>
      <w:t>Ηλεκτρικό ρεύμα και πηγές</w:t>
    </w:r>
  </w:p>
  <w:p w:rsidR="008702C1" w:rsidRDefault="008702C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0C4C628D"/>
    <w:multiLevelType w:val="multilevel"/>
    <w:tmpl w:val="3434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5A344B17"/>
    <w:multiLevelType w:val="hybridMultilevel"/>
    <w:tmpl w:val="CA6875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A50BD2"/>
    <w:multiLevelType w:val="hybridMultilevel"/>
    <w:tmpl w:val="56C66AA2"/>
    <w:lvl w:ilvl="0" w:tplc="36C6BF8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2A82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A020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B61A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8696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B0DB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8E2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FEC2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0A3E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2E0A7B"/>
    <w:multiLevelType w:val="hybridMultilevel"/>
    <w:tmpl w:val="70FA87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6"/>
  </w:num>
  <w:num w:numId="21">
    <w:abstractNumId w:val="5"/>
  </w:num>
  <w:num w:numId="22">
    <w:abstractNumId w:val="1"/>
  </w:num>
  <w:num w:numId="23">
    <w:abstractNumId w:val="4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0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6762"/>
    <w:rsid w:val="00013194"/>
    <w:rsid w:val="00015034"/>
    <w:rsid w:val="00022960"/>
    <w:rsid w:val="0003372A"/>
    <w:rsid w:val="00036B0D"/>
    <w:rsid w:val="00037D8F"/>
    <w:rsid w:val="00065073"/>
    <w:rsid w:val="00067D52"/>
    <w:rsid w:val="000914F1"/>
    <w:rsid w:val="000D767A"/>
    <w:rsid w:val="000E7901"/>
    <w:rsid w:val="000E7C18"/>
    <w:rsid w:val="00111EE7"/>
    <w:rsid w:val="001169FD"/>
    <w:rsid w:val="001201BF"/>
    <w:rsid w:val="00121F62"/>
    <w:rsid w:val="00151E6D"/>
    <w:rsid w:val="001532C8"/>
    <w:rsid w:val="0015560B"/>
    <w:rsid w:val="001559DD"/>
    <w:rsid w:val="00157FAC"/>
    <w:rsid w:val="00164C2B"/>
    <w:rsid w:val="00172825"/>
    <w:rsid w:val="00176582"/>
    <w:rsid w:val="001B093F"/>
    <w:rsid w:val="001B548A"/>
    <w:rsid w:val="001C080D"/>
    <w:rsid w:val="001C4A36"/>
    <w:rsid w:val="001D5E74"/>
    <w:rsid w:val="002032D5"/>
    <w:rsid w:val="00212374"/>
    <w:rsid w:val="002272E7"/>
    <w:rsid w:val="002341BF"/>
    <w:rsid w:val="00243D6B"/>
    <w:rsid w:val="00243D6D"/>
    <w:rsid w:val="00247348"/>
    <w:rsid w:val="00256C26"/>
    <w:rsid w:val="002620C3"/>
    <w:rsid w:val="002649ED"/>
    <w:rsid w:val="00273CD4"/>
    <w:rsid w:val="00277B1D"/>
    <w:rsid w:val="00284B4B"/>
    <w:rsid w:val="002A78C0"/>
    <w:rsid w:val="002B5416"/>
    <w:rsid w:val="002C3AF3"/>
    <w:rsid w:val="002D732C"/>
    <w:rsid w:val="002F77C7"/>
    <w:rsid w:val="00320E32"/>
    <w:rsid w:val="00336C7D"/>
    <w:rsid w:val="00341904"/>
    <w:rsid w:val="003527AA"/>
    <w:rsid w:val="00354C19"/>
    <w:rsid w:val="00354F39"/>
    <w:rsid w:val="003558BC"/>
    <w:rsid w:val="003677E8"/>
    <w:rsid w:val="003752AC"/>
    <w:rsid w:val="00381AEE"/>
    <w:rsid w:val="00393347"/>
    <w:rsid w:val="003A67DB"/>
    <w:rsid w:val="003B580C"/>
    <w:rsid w:val="003E1D9C"/>
    <w:rsid w:val="003F342C"/>
    <w:rsid w:val="003F6633"/>
    <w:rsid w:val="00400584"/>
    <w:rsid w:val="00405535"/>
    <w:rsid w:val="00406953"/>
    <w:rsid w:val="004076F1"/>
    <w:rsid w:val="0042258B"/>
    <w:rsid w:val="00440024"/>
    <w:rsid w:val="004569D3"/>
    <w:rsid w:val="004573A3"/>
    <w:rsid w:val="00462CF0"/>
    <w:rsid w:val="004700CC"/>
    <w:rsid w:val="004737A3"/>
    <w:rsid w:val="00480F8B"/>
    <w:rsid w:val="0048400A"/>
    <w:rsid w:val="00497C0D"/>
    <w:rsid w:val="004A3EDF"/>
    <w:rsid w:val="004A400C"/>
    <w:rsid w:val="004C47E2"/>
    <w:rsid w:val="004E3319"/>
    <w:rsid w:val="004E5A71"/>
    <w:rsid w:val="00502AD8"/>
    <w:rsid w:val="0050485B"/>
    <w:rsid w:val="0051356F"/>
    <w:rsid w:val="005165C4"/>
    <w:rsid w:val="00531F6F"/>
    <w:rsid w:val="00532A94"/>
    <w:rsid w:val="00536EDF"/>
    <w:rsid w:val="005457AB"/>
    <w:rsid w:val="005469A8"/>
    <w:rsid w:val="005527BB"/>
    <w:rsid w:val="005547B4"/>
    <w:rsid w:val="00557248"/>
    <w:rsid w:val="005618FA"/>
    <w:rsid w:val="005651C0"/>
    <w:rsid w:val="00573BE6"/>
    <w:rsid w:val="0059275D"/>
    <w:rsid w:val="005A4A4B"/>
    <w:rsid w:val="005A7423"/>
    <w:rsid w:val="005B0B19"/>
    <w:rsid w:val="005B33EF"/>
    <w:rsid w:val="005B6F05"/>
    <w:rsid w:val="005C0336"/>
    <w:rsid w:val="005C0D17"/>
    <w:rsid w:val="005D56B9"/>
    <w:rsid w:val="005F32B4"/>
    <w:rsid w:val="006005C2"/>
    <w:rsid w:val="00601D01"/>
    <w:rsid w:val="00624939"/>
    <w:rsid w:val="006325EE"/>
    <w:rsid w:val="00632E85"/>
    <w:rsid w:val="00635A6D"/>
    <w:rsid w:val="006453D0"/>
    <w:rsid w:val="006518A7"/>
    <w:rsid w:val="006524E3"/>
    <w:rsid w:val="006535A2"/>
    <w:rsid w:val="00660124"/>
    <w:rsid w:val="00661653"/>
    <w:rsid w:val="00661E2F"/>
    <w:rsid w:val="00671E42"/>
    <w:rsid w:val="006916F6"/>
    <w:rsid w:val="006B3F0F"/>
    <w:rsid w:val="006B7ABE"/>
    <w:rsid w:val="006C6E7F"/>
    <w:rsid w:val="006F00AE"/>
    <w:rsid w:val="006F6167"/>
    <w:rsid w:val="00702FE0"/>
    <w:rsid w:val="0070453F"/>
    <w:rsid w:val="00704E12"/>
    <w:rsid w:val="00706C93"/>
    <w:rsid w:val="007171B8"/>
    <w:rsid w:val="0073206D"/>
    <w:rsid w:val="00735624"/>
    <w:rsid w:val="00736799"/>
    <w:rsid w:val="00765EE4"/>
    <w:rsid w:val="00773A9F"/>
    <w:rsid w:val="00784759"/>
    <w:rsid w:val="007B477B"/>
    <w:rsid w:val="007C5903"/>
    <w:rsid w:val="007D5958"/>
    <w:rsid w:val="007D7BB5"/>
    <w:rsid w:val="00803F6E"/>
    <w:rsid w:val="00830923"/>
    <w:rsid w:val="00832AFA"/>
    <w:rsid w:val="00832D5A"/>
    <w:rsid w:val="008670E3"/>
    <w:rsid w:val="008702C1"/>
    <w:rsid w:val="00871C89"/>
    <w:rsid w:val="00881546"/>
    <w:rsid w:val="008866DA"/>
    <w:rsid w:val="00896BCE"/>
    <w:rsid w:val="008B22B0"/>
    <w:rsid w:val="008B53D8"/>
    <w:rsid w:val="008B629C"/>
    <w:rsid w:val="008C130F"/>
    <w:rsid w:val="008C5215"/>
    <w:rsid w:val="008C5DFF"/>
    <w:rsid w:val="008D1DED"/>
    <w:rsid w:val="008D64CA"/>
    <w:rsid w:val="008E0A91"/>
    <w:rsid w:val="008E30BF"/>
    <w:rsid w:val="008F0DB2"/>
    <w:rsid w:val="008F44E5"/>
    <w:rsid w:val="00907F46"/>
    <w:rsid w:val="0091575F"/>
    <w:rsid w:val="00923F77"/>
    <w:rsid w:val="00932611"/>
    <w:rsid w:val="00942A00"/>
    <w:rsid w:val="00943E7A"/>
    <w:rsid w:val="009512FD"/>
    <w:rsid w:val="0095136F"/>
    <w:rsid w:val="00962A25"/>
    <w:rsid w:val="0098004E"/>
    <w:rsid w:val="00986762"/>
    <w:rsid w:val="00987F7F"/>
    <w:rsid w:val="009931C3"/>
    <w:rsid w:val="009A489F"/>
    <w:rsid w:val="009B6C05"/>
    <w:rsid w:val="009C0BFF"/>
    <w:rsid w:val="009C0E17"/>
    <w:rsid w:val="009C2215"/>
    <w:rsid w:val="009C48EE"/>
    <w:rsid w:val="009C4959"/>
    <w:rsid w:val="009D23A5"/>
    <w:rsid w:val="009D2B72"/>
    <w:rsid w:val="009E3871"/>
    <w:rsid w:val="009E6188"/>
    <w:rsid w:val="00A00627"/>
    <w:rsid w:val="00A0255E"/>
    <w:rsid w:val="00A2772A"/>
    <w:rsid w:val="00A32B24"/>
    <w:rsid w:val="00A32BFE"/>
    <w:rsid w:val="00A40212"/>
    <w:rsid w:val="00A436AC"/>
    <w:rsid w:val="00A5462E"/>
    <w:rsid w:val="00A9293E"/>
    <w:rsid w:val="00A9724C"/>
    <w:rsid w:val="00A974A0"/>
    <w:rsid w:val="00AA10EF"/>
    <w:rsid w:val="00AB18C9"/>
    <w:rsid w:val="00AC2411"/>
    <w:rsid w:val="00AD1069"/>
    <w:rsid w:val="00AD29C8"/>
    <w:rsid w:val="00B17253"/>
    <w:rsid w:val="00B206BB"/>
    <w:rsid w:val="00B45347"/>
    <w:rsid w:val="00B51B7F"/>
    <w:rsid w:val="00B563D8"/>
    <w:rsid w:val="00B60B50"/>
    <w:rsid w:val="00B70BB5"/>
    <w:rsid w:val="00B70DBC"/>
    <w:rsid w:val="00B86C1E"/>
    <w:rsid w:val="00BD4037"/>
    <w:rsid w:val="00BE21EE"/>
    <w:rsid w:val="00BF7EAC"/>
    <w:rsid w:val="00C00283"/>
    <w:rsid w:val="00C11661"/>
    <w:rsid w:val="00C43688"/>
    <w:rsid w:val="00C465B7"/>
    <w:rsid w:val="00C51698"/>
    <w:rsid w:val="00C60F08"/>
    <w:rsid w:val="00C62FCC"/>
    <w:rsid w:val="00C63E99"/>
    <w:rsid w:val="00C67D43"/>
    <w:rsid w:val="00C80376"/>
    <w:rsid w:val="00C81EAD"/>
    <w:rsid w:val="00C87101"/>
    <w:rsid w:val="00CA44C1"/>
    <w:rsid w:val="00CB3101"/>
    <w:rsid w:val="00CC00DA"/>
    <w:rsid w:val="00CC6EEB"/>
    <w:rsid w:val="00CE05A0"/>
    <w:rsid w:val="00CE1217"/>
    <w:rsid w:val="00CE5F28"/>
    <w:rsid w:val="00CE63A8"/>
    <w:rsid w:val="00CF09F3"/>
    <w:rsid w:val="00D010E1"/>
    <w:rsid w:val="00D04551"/>
    <w:rsid w:val="00D06993"/>
    <w:rsid w:val="00D31179"/>
    <w:rsid w:val="00D42D0F"/>
    <w:rsid w:val="00D51391"/>
    <w:rsid w:val="00D95FD6"/>
    <w:rsid w:val="00D96AE1"/>
    <w:rsid w:val="00DA0E27"/>
    <w:rsid w:val="00DA4CA2"/>
    <w:rsid w:val="00DB1321"/>
    <w:rsid w:val="00DC2C89"/>
    <w:rsid w:val="00DD56B0"/>
    <w:rsid w:val="00DE126D"/>
    <w:rsid w:val="00DF37FB"/>
    <w:rsid w:val="00E23BEB"/>
    <w:rsid w:val="00E34590"/>
    <w:rsid w:val="00E40253"/>
    <w:rsid w:val="00E42837"/>
    <w:rsid w:val="00E42B70"/>
    <w:rsid w:val="00E436D5"/>
    <w:rsid w:val="00E6069F"/>
    <w:rsid w:val="00E72990"/>
    <w:rsid w:val="00E8504E"/>
    <w:rsid w:val="00E90EEC"/>
    <w:rsid w:val="00E93036"/>
    <w:rsid w:val="00E9637C"/>
    <w:rsid w:val="00EA5319"/>
    <w:rsid w:val="00EB19C7"/>
    <w:rsid w:val="00EB1B69"/>
    <w:rsid w:val="00EB3E9E"/>
    <w:rsid w:val="00EC1165"/>
    <w:rsid w:val="00EC447A"/>
    <w:rsid w:val="00ED3E81"/>
    <w:rsid w:val="00F02A87"/>
    <w:rsid w:val="00F1744A"/>
    <w:rsid w:val="00F17C9A"/>
    <w:rsid w:val="00F26692"/>
    <w:rsid w:val="00F45EB7"/>
    <w:rsid w:val="00F45FEA"/>
    <w:rsid w:val="00F61B3D"/>
    <w:rsid w:val="00F8348E"/>
    <w:rsid w:val="00F83DA4"/>
    <w:rsid w:val="00F87ED1"/>
    <w:rsid w:val="00F93393"/>
    <w:rsid w:val="00FB32D8"/>
    <w:rsid w:val="00FB52DE"/>
    <w:rsid w:val="00FB76FB"/>
    <w:rsid w:val="00FC16CF"/>
    <w:rsid w:val="00FC3F31"/>
    <w:rsid w:val="00FC5AB1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ru v:ext="edit" colors="#fc6"/>
      <o:colormenu v:ext="edit" fillcolor="#fc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32B24"/>
    <w:pPr>
      <w:tabs>
        <w:tab w:val="left" w:pos="425"/>
      </w:tabs>
      <w:spacing w:after="0" w:line="360" w:lineRule="auto"/>
      <w:jc w:val="both"/>
    </w:pPr>
    <w:rPr>
      <w:rFonts w:ascii="Times New Roman" w:hAnsi="Times New Roman" w:cs="Times New Roman"/>
      <w:sz w:val="24"/>
    </w:rPr>
  </w:style>
  <w:style w:type="paragraph" w:styleId="10">
    <w:name w:val="heading 1"/>
    <w:basedOn w:val="a0"/>
    <w:next w:val="a0"/>
    <w:link w:val="1Char"/>
    <w:qFormat/>
    <w:rsid w:val="002A78C0"/>
    <w:pPr>
      <w:keepNext/>
      <w:tabs>
        <w:tab w:val="left" w:pos="567"/>
      </w:tabs>
      <w:spacing w:before="240" w:after="240"/>
      <w:ind w:left="1134" w:right="1701"/>
      <w:jc w:val="left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157FAC"/>
    <w:pPr>
      <w:widowControl w:val="0"/>
      <w:numPr>
        <w:numId w:val="16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2A78C0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FB32D8"/>
    <w:pPr>
      <w:ind w:left="680" w:hanging="340"/>
    </w:pPr>
    <w:rPr>
      <w:b/>
      <w:i/>
      <w:color w:val="FF0000"/>
      <w:sz w:val="28"/>
    </w:rPr>
  </w:style>
  <w:style w:type="character" w:customStyle="1" w:styleId="Char">
    <w:name w:val="αβγ Char"/>
    <w:basedOn w:val="a1"/>
    <w:link w:val="a4"/>
    <w:rsid w:val="00FB32D8"/>
    <w:rPr>
      <w:rFonts w:ascii="Times New Roman" w:hAnsi="Times New Roman" w:cs="Times New Roman"/>
      <w:b/>
      <w:i/>
      <w:color w:val="FF0000"/>
      <w:sz w:val="28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Balloon Text"/>
    <w:basedOn w:val="a0"/>
    <w:link w:val="Char0"/>
    <w:uiPriority w:val="99"/>
    <w:semiHidden/>
    <w:unhideWhenUsed/>
    <w:rsid w:val="00D42D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6"/>
    <w:uiPriority w:val="99"/>
    <w:semiHidden/>
    <w:rsid w:val="00D42D0F"/>
    <w:rPr>
      <w:rFonts w:ascii="Tahoma" w:hAnsi="Tahoma" w:cs="Tahoma"/>
      <w:sz w:val="16"/>
      <w:szCs w:val="16"/>
    </w:rPr>
  </w:style>
  <w:style w:type="paragraph" w:styleId="a7">
    <w:name w:val="header"/>
    <w:basedOn w:val="a0"/>
    <w:link w:val="Char1"/>
    <w:unhideWhenUsed/>
    <w:rsid w:val="00F45EB7"/>
    <w:pPr>
      <w:tabs>
        <w:tab w:val="clear" w:pos="425"/>
        <w:tab w:val="center" w:pos="4153"/>
        <w:tab w:val="right" w:pos="8306"/>
      </w:tabs>
      <w:spacing w:line="240" w:lineRule="auto"/>
    </w:pPr>
  </w:style>
  <w:style w:type="character" w:customStyle="1" w:styleId="Char1">
    <w:name w:val="Κεφαλίδα Char"/>
    <w:basedOn w:val="a1"/>
    <w:link w:val="a7"/>
    <w:rsid w:val="00F45EB7"/>
    <w:rPr>
      <w:rFonts w:ascii="Times New Roman" w:hAnsi="Times New Roman" w:cs="Times New Roman"/>
      <w:sz w:val="24"/>
    </w:rPr>
  </w:style>
  <w:style w:type="paragraph" w:styleId="a8">
    <w:name w:val="footer"/>
    <w:basedOn w:val="a0"/>
    <w:link w:val="Char2"/>
    <w:unhideWhenUsed/>
    <w:rsid w:val="00F45EB7"/>
    <w:pPr>
      <w:tabs>
        <w:tab w:val="clear" w:pos="425"/>
        <w:tab w:val="center" w:pos="4153"/>
        <w:tab w:val="right" w:pos="8306"/>
      </w:tabs>
      <w:spacing w:line="240" w:lineRule="auto"/>
    </w:pPr>
  </w:style>
  <w:style w:type="character" w:customStyle="1" w:styleId="Char2">
    <w:name w:val="Υποσέλιδο Char"/>
    <w:basedOn w:val="a1"/>
    <w:link w:val="a8"/>
    <w:rsid w:val="00F45EB7"/>
    <w:rPr>
      <w:rFonts w:ascii="Times New Roman" w:hAnsi="Times New Roman" w:cs="Times New Roman"/>
      <w:sz w:val="24"/>
    </w:rPr>
  </w:style>
  <w:style w:type="character" w:styleId="a9">
    <w:name w:val="page number"/>
    <w:basedOn w:val="a1"/>
    <w:rsid w:val="00F45EB7"/>
  </w:style>
  <w:style w:type="paragraph" w:styleId="Web">
    <w:name w:val="Normal (Web)"/>
    <w:basedOn w:val="a0"/>
    <w:uiPriority w:val="99"/>
    <w:unhideWhenUsed/>
    <w:rsid w:val="00C63E99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el-GR"/>
    </w:rPr>
  </w:style>
  <w:style w:type="character" w:customStyle="1" w:styleId="apple-converted-space">
    <w:name w:val="apple-converted-space"/>
    <w:basedOn w:val="a1"/>
    <w:rsid w:val="00C63E99"/>
  </w:style>
  <w:style w:type="character" w:customStyle="1" w:styleId="apple-style-span">
    <w:name w:val="apple-style-span"/>
    <w:basedOn w:val="a1"/>
    <w:rsid w:val="00497C0D"/>
  </w:style>
  <w:style w:type="paragraph" w:styleId="aa">
    <w:name w:val="endnote text"/>
    <w:basedOn w:val="a0"/>
    <w:link w:val="Char3"/>
    <w:uiPriority w:val="99"/>
    <w:semiHidden/>
    <w:unhideWhenUsed/>
    <w:rsid w:val="00E34590"/>
    <w:pPr>
      <w:spacing w:line="240" w:lineRule="auto"/>
    </w:pPr>
    <w:rPr>
      <w:sz w:val="20"/>
      <w:szCs w:val="20"/>
    </w:rPr>
  </w:style>
  <w:style w:type="character" w:customStyle="1" w:styleId="Char3">
    <w:name w:val="Κείμενο σημείωσης τέλους Char"/>
    <w:basedOn w:val="a1"/>
    <w:link w:val="aa"/>
    <w:uiPriority w:val="99"/>
    <w:semiHidden/>
    <w:rsid w:val="00E34590"/>
    <w:rPr>
      <w:rFonts w:ascii="Times New Roman" w:hAnsi="Times New Roman" w:cs="Times New Roman"/>
      <w:sz w:val="20"/>
      <w:szCs w:val="20"/>
    </w:rPr>
  </w:style>
  <w:style w:type="character" w:styleId="ab">
    <w:name w:val="endnote reference"/>
    <w:basedOn w:val="a1"/>
    <w:uiPriority w:val="99"/>
    <w:semiHidden/>
    <w:unhideWhenUsed/>
    <w:rsid w:val="00E34590"/>
    <w:rPr>
      <w:vertAlign w:val="superscript"/>
    </w:rPr>
  </w:style>
  <w:style w:type="paragraph" w:styleId="ac">
    <w:name w:val="footnote text"/>
    <w:basedOn w:val="a0"/>
    <w:link w:val="Char4"/>
    <w:uiPriority w:val="99"/>
    <w:semiHidden/>
    <w:unhideWhenUsed/>
    <w:rsid w:val="00EB3E9E"/>
    <w:pPr>
      <w:spacing w:line="240" w:lineRule="auto"/>
      <w:ind w:left="170"/>
    </w:pPr>
    <w:rPr>
      <w:i/>
      <w:sz w:val="18"/>
      <w:szCs w:val="20"/>
    </w:rPr>
  </w:style>
  <w:style w:type="character" w:customStyle="1" w:styleId="Char4">
    <w:name w:val="Κείμενο υποσημείωσης Char"/>
    <w:basedOn w:val="a1"/>
    <w:link w:val="ac"/>
    <w:uiPriority w:val="99"/>
    <w:semiHidden/>
    <w:rsid w:val="00EB3E9E"/>
    <w:rPr>
      <w:rFonts w:ascii="Times New Roman" w:hAnsi="Times New Roman" w:cs="Times New Roman"/>
      <w:i/>
      <w:sz w:val="18"/>
      <w:szCs w:val="20"/>
    </w:rPr>
  </w:style>
  <w:style w:type="character" w:styleId="ad">
    <w:name w:val="footnote reference"/>
    <w:basedOn w:val="a1"/>
    <w:uiPriority w:val="99"/>
    <w:semiHidden/>
    <w:unhideWhenUsed/>
    <w:rsid w:val="00E34590"/>
    <w:rPr>
      <w:vertAlign w:val="superscript"/>
    </w:rPr>
  </w:style>
  <w:style w:type="character" w:styleId="ae">
    <w:name w:val="Strong"/>
    <w:basedOn w:val="a1"/>
    <w:uiPriority w:val="22"/>
    <w:qFormat/>
    <w:rsid w:val="00BE21EE"/>
    <w:rPr>
      <w:b/>
      <w:bCs/>
    </w:rPr>
  </w:style>
  <w:style w:type="character" w:styleId="-">
    <w:name w:val="Hyperlink"/>
    <w:basedOn w:val="a1"/>
    <w:uiPriority w:val="99"/>
    <w:semiHidden/>
    <w:unhideWhenUsed/>
    <w:rsid w:val="00BE21EE"/>
    <w:rPr>
      <w:color w:val="0000FF"/>
      <w:u w:val="single"/>
    </w:rPr>
  </w:style>
  <w:style w:type="character" w:customStyle="1" w:styleId="ekthetis">
    <w:name w:val="ekthetis"/>
    <w:basedOn w:val="a1"/>
    <w:rsid w:val="00ED3E81"/>
  </w:style>
  <w:style w:type="character" w:customStyle="1" w:styleId="deiktis">
    <w:name w:val="deiktis"/>
    <w:basedOn w:val="a1"/>
    <w:rsid w:val="00ED3E81"/>
  </w:style>
  <w:style w:type="paragraph" w:styleId="af">
    <w:name w:val="List Paragraph"/>
    <w:basedOn w:val="a0"/>
    <w:uiPriority w:val="34"/>
    <w:qFormat/>
    <w:rsid w:val="00ED3E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7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image" Target="media/image16.wmf"/><Relationship Id="rId42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image" Target="media/image4.emf"/><Relationship Id="rId17" Type="http://schemas.openxmlformats.org/officeDocument/2006/relationships/image" Target="media/image7.emf"/><Relationship Id="rId25" Type="http://schemas.openxmlformats.org/officeDocument/2006/relationships/image" Target="media/image11.wmf"/><Relationship Id="rId33" Type="http://schemas.openxmlformats.org/officeDocument/2006/relationships/oleObject" Target="embeddings/oleObject12.bin"/><Relationship Id="rId38" Type="http://schemas.openxmlformats.org/officeDocument/2006/relationships/image" Target="media/image18.e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3.w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8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4.bin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0.bin"/><Relationship Id="rId36" Type="http://schemas.openxmlformats.org/officeDocument/2006/relationships/image" Target="media/image17.wmf"/><Relationship Id="rId10" Type="http://schemas.openxmlformats.org/officeDocument/2006/relationships/oleObject" Target="embeddings/oleObject2.bin"/><Relationship Id="rId19" Type="http://schemas.openxmlformats.org/officeDocument/2006/relationships/image" Target="media/image8.wmf"/><Relationship Id="rId31" Type="http://schemas.openxmlformats.org/officeDocument/2006/relationships/image" Target="media/image14.e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709</Words>
  <Characters>3833</Characters>
  <Application>Microsoft Office Word</Application>
  <DocSecurity>0</DocSecurity>
  <Lines>31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4</cp:revision>
  <cp:lastPrinted>2013-09-09T06:42:00Z</cp:lastPrinted>
  <dcterms:created xsi:type="dcterms:W3CDTF">2013-09-16T16:10:00Z</dcterms:created>
  <dcterms:modified xsi:type="dcterms:W3CDTF">2013-09-16T16:16:00Z</dcterms:modified>
</cp:coreProperties>
</file>