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5A5A5" w:themeColor="background1" w:themeShade="A5"/>
  <w:body>
    <w:p w:rsidR="002B0D77" w:rsidRDefault="002B0D77" w:rsidP="002B0D77">
      <w:pPr>
        <w:rPr>
          <w:rFonts w:ascii="Arial Rounded MT Bold" w:hAnsi="Arial Rounded MT Bold"/>
          <w:sz w:val="28"/>
          <w:szCs w:val="28"/>
          <w:highlight w:val="yellow"/>
        </w:rPr>
      </w:pPr>
    </w:p>
    <w:p w:rsidR="002B0D77" w:rsidRPr="00003D34" w:rsidRDefault="002B0D77" w:rsidP="002B0D77">
      <w:pPr>
        <w:rPr>
          <w:rFonts w:ascii="Arial Rounded MT Bold" w:hAnsi="Arial Rounded MT Bold"/>
          <w:sz w:val="28"/>
          <w:szCs w:val="28"/>
        </w:rPr>
      </w:pPr>
      <w:r w:rsidRPr="00003D34">
        <w:rPr>
          <w:rFonts w:ascii="Arial Rounded MT Bold" w:hAnsi="Arial Rounded MT Bold"/>
          <w:sz w:val="28"/>
          <w:szCs w:val="28"/>
          <w:highlight w:val="yellow"/>
        </w:rPr>
        <w:t>DIABETIC KETOACIDOSIS MANAGEMENT HIGHLIGHTS</w:t>
      </w:r>
      <w:r w:rsidRPr="00003D34">
        <w:rPr>
          <w:rFonts w:ascii="Arial Rounded MT Bold" w:hAnsi="Arial Rounded MT Bold"/>
          <w:sz w:val="28"/>
          <w:szCs w:val="28"/>
        </w:rPr>
        <w:t xml:space="preserve"> </w:t>
      </w:r>
    </w:p>
    <w:tbl>
      <w:tblPr>
        <w:tblStyle w:val="MediumShading1-Accent1"/>
        <w:tblW w:w="0" w:type="auto"/>
        <w:tblLook w:val="0000"/>
      </w:tblPr>
      <w:tblGrid>
        <w:gridCol w:w="7800"/>
      </w:tblGrid>
      <w:tr w:rsidR="002B0D77" w:rsidTr="00BB6DED">
        <w:trPr>
          <w:cnfStyle w:val="000000100000"/>
          <w:trHeight w:val="1929"/>
        </w:trPr>
        <w:tc>
          <w:tcPr>
            <w:cnfStyle w:val="000010000000"/>
            <w:tcW w:w="7800" w:type="dxa"/>
          </w:tcPr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-Bold" w:hAnsi="GillSans-Bold" w:cs="GillSans-Bold"/>
                <w:b/>
                <w:bCs/>
                <w:color w:val="231F20"/>
                <w:sz w:val="28"/>
                <w:szCs w:val="28"/>
              </w:rPr>
            </w:pPr>
            <w:r w:rsidRPr="002B0D77">
              <w:rPr>
                <w:rFonts w:ascii="GillSans-Bold" w:hAnsi="GillSans-Bold" w:cs="GillSans-Bold"/>
                <w:b/>
                <w:bCs/>
                <w:color w:val="231F20"/>
                <w:sz w:val="28"/>
                <w:szCs w:val="28"/>
              </w:rPr>
              <w:t>Fluid resuscitation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 xml:space="preserve">Start 0.9% 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NaCl</w:t>
            </w:r>
            <w:proofErr w:type="spellEnd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 xml:space="preserve"> at 15–20 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mL</w:t>
            </w:r>
            <w:proofErr w:type="spellEnd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/kg/hr for first hr (add colloid if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hypovolemic</w:t>
            </w:r>
            <w:proofErr w:type="spellEnd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 xml:space="preserve"> shock), then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 xml:space="preserve">If Na+ is normal or high, give 0.45% 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NaCl</w:t>
            </w:r>
            <w:proofErr w:type="spellEnd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 xml:space="preserve"> at 4–14 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mL</w:t>
            </w:r>
            <w:proofErr w:type="spellEnd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/kg/hr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 xml:space="preserve">If Na+ is low, give 0.9% 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NaCl</w:t>
            </w:r>
            <w:proofErr w:type="spellEnd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 xml:space="preserve"> at 4–14 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mL</w:t>
            </w:r>
            <w:proofErr w:type="spellEnd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/kg/hr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Add dextrose when glucose is &lt; 250 mg/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dL</w:t>
            </w:r>
            <w:proofErr w:type="spellEnd"/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-Bold" w:hAnsi="GillSans-Bold" w:cs="GillSans-Bold"/>
                <w:b/>
                <w:bCs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Goal is to correct total body water deficit in the first 24 hr</w:t>
            </w:r>
          </w:p>
        </w:tc>
      </w:tr>
      <w:tr w:rsidR="002B0D77" w:rsidTr="00BB6DED">
        <w:trPr>
          <w:cnfStyle w:val="000000010000"/>
          <w:trHeight w:val="1723"/>
        </w:trPr>
        <w:tc>
          <w:tcPr>
            <w:cnfStyle w:val="000010000000"/>
            <w:tcW w:w="7800" w:type="dxa"/>
          </w:tcPr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-Bold" w:hAnsi="GillSans-Bold" w:cs="GillSans-Bold"/>
                <w:b/>
                <w:bCs/>
                <w:color w:val="231F20"/>
                <w:sz w:val="28"/>
                <w:szCs w:val="28"/>
              </w:rPr>
            </w:pPr>
            <w:r w:rsidRPr="002B0D77">
              <w:rPr>
                <w:rFonts w:ascii="GillSans-Bold" w:hAnsi="GillSans-Bold" w:cs="GillSans-Bold"/>
                <w:b/>
                <w:bCs/>
                <w:color w:val="231F20"/>
                <w:sz w:val="28"/>
                <w:szCs w:val="28"/>
              </w:rPr>
              <w:t>Insulin therapy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0.1 U/kg bolus followed by continuous infusion at 0.1 U/kg/hr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Goal is to decrease glucose by 50–75 mg/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dL</w:t>
            </w:r>
            <w:proofErr w:type="spellEnd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/hr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Continue insulin until pH, bicarbonate, and anion gap normalize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Overlap IV insulin with subcutaneous insulin for 1–2 hr after resolution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-Bold" w:hAnsi="GillSans-Bold" w:cs="GillSans-Bold"/>
                <w:b/>
                <w:bCs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of DKA</w:t>
            </w:r>
          </w:p>
        </w:tc>
      </w:tr>
      <w:tr w:rsidR="002B0D77" w:rsidTr="00BB6DED">
        <w:trPr>
          <w:cnfStyle w:val="000000100000"/>
          <w:trHeight w:val="1815"/>
        </w:trPr>
        <w:tc>
          <w:tcPr>
            <w:cnfStyle w:val="000010000000"/>
            <w:tcW w:w="7800" w:type="dxa"/>
          </w:tcPr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-Bold" w:hAnsi="GillSans-Bold" w:cs="GillSans-Bold"/>
                <w:b/>
                <w:bCs/>
                <w:color w:val="231F20"/>
                <w:sz w:val="28"/>
                <w:szCs w:val="28"/>
              </w:rPr>
            </w:pPr>
            <w:r w:rsidRPr="002B0D77">
              <w:rPr>
                <w:rFonts w:ascii="GillSans-Bold" w:hAnsi="GillSans-Bold" w:cs="GillSans-Bold"/>
                <w:b/>
                <w:bCs/>
                <w:color w:val="231F20"/>
                <w:sz w:val="28"/>
                <w:szCs w:val="28"/>
              </w:rPr>
              <w:t>Electrolyte repletion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 xml:space="preserve">Add 20–30 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mEq</w:t>
            </w:r>
            <w:proofErr w:type="spellEnd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 xml:space="preserve"> potassium to each liter of IV fluid if potassium is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 xml:space="preserve">&lt; 5.3 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mEq</w:t>
            </w:r>
            <w:proofErr w:type="spellEnd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/L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Replace phosphate if phosphate is &lt; 1 mg/</w:t>
            </w:r>
            <w:proofErr w:type="spellStart"/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dL</w:t>
            </w:r>
            <w:proofErr w:type="spellEnd"/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rPr>
                <w:rFonts w:ascii="GillSans" w:hAnsi="GillSans" w:cs="GillSans"/>
                <w:color w:val="231F20"/>
                <w:sz w:val="28"/>
                <w:szCs w:val="28"/>
              </w:rPr>
            </w:pPr>
            <w:r w:rsidRPr="002B0D77">
              <w:rPr>
                <w:rFonts w:ascii="GillSans" w:hAnsi="GillSans" w:cs="GillSans"/>
                <w:color w:val="231F20"/>
                <w:sz w:val="28"/>
                <w:szCs w:val="28"/>
              </w:rPr>
              <w:t>Give bicarbonate if pH is &lt; 7.0</w:t>
            </w:r>
          </w:p>
          <w:p w:rsidR="002B0D77" w:rsidRPr="002B0D77" w:rsidRDefault="002B0D77" w:rsidP="00BB6DED">
            <w:pPr>
              <w:autoSpaceDE w:val="0"/>
              <w:autoSpaceDN w:val="0"/>
              <w:adjustRightInd w:val="0"/>
              <w:spacing w:after="200" w:line="276" w:lineRule="auto"/>
              <w:rPr>
                <w:rFonts w:ascii="GillSans-Bold" w:hAnsi="GillSans-Bold" w:cs="GillSans-Bold"/>
                <w:b/>
                <w:bCs/>
                <w:color w:val="231F20"/>
                <w:sz w:val="28"/>
                <w:szCs w:val="28"/>
              </w:rPr>
            </w:pPr>
          </w:p>
        </w:tc>
      </w:tr>
    </w:tbl>
    <w:p w:rsidR="00F42A84" w:rsidRDefault="00F42A84"/>
    <w:sectPr w:rsidR="00F42A84" w:rsidSect="00F4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B0D77"/>
    <w:rsid w:val="002B0D77"/>
    <w:rsid w:val="00F42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2B0D7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sassa</dc:creator>
  <cp:lastModifiedBy>sassa</cp:lastModifiedBy>
  <cp:revision>1</cp:revision>
  <dcterms:created xsi:type="dcterms:W3CDTF">2013-01-20T18:08:00Z</dcterms:created>
  <dcterms:modified xsi:type="dcterms:W3CDTF">2013-01-20T18:09:00Z</dcterms:modified>
</cp:coreProperties>
</file>