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EE" w:rsidRPr="007173A4" w:rsidRDefault="009774CF">
      <w:pPr>
        <w:rPr>
          <w:b/>
        </w:rPr>
      </w:pPr>
      <w:r w:rsidRPr="007173A4">
        <w:rPr>
          <w:b/>
        </w:rPr>
        <w:t>Receivable Turnover Ratio</w:t>
      </w:r>
    </w:p>
    <w:p w:rsidR="009774CF" w:rsidRDefault="009774CF"/>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b/>
          <w:bCs/>
          <w:color w:val="404346"/>
          <w:kern w:val="0"/>
          <w:sz w:val="21"/>
          <w:szCs w:val="21"/>
        </w:rPr>
        <w:t>Definition</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b/>
          <w:bCs/>
          <w:color w:val="404346"/>
          <w:kern w:val="0"/>
          <w:sz w:val="21"/>
          <w:szCs w:val="21"/>
        </w:rPr>
        <w:t>The receivable turnover ratio</w:t>
      </w:r>
      <w:r w:rsidRPr="00791CC2">
        <w:rPr>
          <w:rFonts w:ascii="Arial" w:eastAsia="新細明體" w:hAnsi="Arial" w:cs="Arial"/>
          <w:color w:val="404346"/>
          <w:kern w:val="0"/>
          <w:sz w:val="21"/>
          <w:szCs w:val="21"/>
        </w:rPr>
        <w:t xml:space="preserve"> (</w:t>
      </w:r>
      <w:proofErr w:type="gramStart"/>
      <w:r w:rsidRPr="00791CC2">
        <w:rPr>
          <w:rFonts w:ascii="Arial" w:eastAsia="新細明體" w:hAnsi="Arial" w:cs="Arial"/>
          <w:color w:val="404346"/>
          <w:kern w:val="0"/>
          <w:sz w:val="21"/>
          <w:szCs w:val="21"/>
        </w:rPr>
        <w:t>debtors</w:t>
      </w:r>
      <w:proofErr w:type="gramEnd"/>
      <w:r w:rsidRPr="00791CC2">
        <w:rPr>
          <w:rFonts w:ascii="Arial" w:eastAsia="新細明體" w:hAnsi="Arial" w:cs="Arial"/>
          <w:color w:val="404346"/>
          <w:kern w:val="0"/>
          <w:sz w:val="21"/>
          <w:szCs w:val="21"/>
        </w:rPr>
        <w:t xml:space="preserve"> turnover ratio, accounts receivable turnover ratio) indicates the velocity of a company's debt collection, the number of times average receivables are turned over during a year</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bookmarkStart w:id="0" w:name="_GoBack"/>
      <w:bookmarkEnd w:id="0"/>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This ratio determines how quickly a company collects outstanding cash balances from its customers during an accounting period</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It is an important indicator of a company's financial and operational performance and can be used to determine if a company is having difficulties collecting sales made on credit</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Receivable turnover ratio indicates how many times, on average, account receivables are collected during a year (sales divided by the average of accounts receivables)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A popular variant of the receivables turnover ratio is to convert it into an </w:t>
      </w:r>
      <w:r w:rsidRPr="00791CC2">
        <w:rPr>
          <w:rFonts w:ascii="Arial" w:eastAsia="新細明體" w:hAnsi="Arial" w:cs="Arial"/>
          <w:b/>
          <w:bCs/>
          <w:color w:val="404346"/>
          <w:kern w:val="0"/>
          <w:sz w:val="21"/>
          <w:szCs w:val="21"/>
        </w:rPr>
        <w:t>Average collection period</w:t>
      </w:r>
      <w:r w:rsidRPr="00791CC2">
        <w:rPr>
          <w:rFonts w:ascii="Arial" w:eastAsia="新細明體" w:hAnsi="Arial" w:cs="Arial"/>
          <w:color w:val="404346"/>
          <w:kern w:val="0"/>
          <w:sz w:val="21"/>
          <w:szCs w:val="21"/>
        </w:rPr>
        <w:t xml:space="preserve"> in terms of days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The average collection period (also called Days Sales Outstanding (DSO)) is the number of days, on average, that it takes a company to collect its accounts receivables, i</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proofErr w:type="gramStart"/>
      <w:r w:rsidRPr="00791CC2">
        <w:rPr>
          <w:rFonts w:ascii="Arial" w:eastAsia="新細明體" w:hAnsi="Arial" w:cs="Arial"/>
          <w:color w:val="404346"/>
          <w:kern w:val="0"/>
          <w:sz w:val="21"/>
          <w:szCs w:val="21"/>
        </w:rPr>
        <w:t>e</w:t>
      </w:r>
      <w:proofErr w:type="gramEnd"/>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the average number of days required to convert receivables into cash</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An accounting measure used to quantify a firm's effectiveness in extending credit as well as collecting debts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lastRenderedPageBreak/>
        <w:br/>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b/>
          <w:bCs/>
          <w:color w:val="404346"/>
          <w:kern w:val="0"/>
          <w:sz w:val="21"/>
          <w:szCs w:val="21"/>
        </w:rPr>
        <w:t xml:space="preserve">Calculation (formula) </w:t>
      </w:r>
    </w:p>
    <w:p w:rsidR="00791CC2" w:rsidRPr="00791CC2" w:rsidRDefault="00791CC2" w:rsidP="00791CC2">
      <w:pPr>
        <w:widowControl/>
        <w:spacing w:before="100" w:beforeAutospacing="1" w:after="100" w:afterAutospacing="1" w:line="330" w:lineRule="atLeast"/>
        <w:jc w:val="center"/>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 xml:space="preserve">Receivables turnover ratio = Net receivable sales/ Average accounts receivables </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Accounts Receivable outstanding in days:</w:t>
      </w:r>
    </w:p>
    <w:p w:rsidR="00791CC2" w:rsidRPr="00791CC2" w:rsidRDefault="00791CC2" w:rsidP="00791CC2">
      <w:pPr>
        <w:widowControl/>
        <w:spacing w:before="100" w:beforeAutospacing="1" w:after="100" w:afterAutospacing="1" w:line="330" w:lineRule="atLeast"/>
        <w:jc w:val="center"/>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Average collection period (Days sales outstanding) = 365 / Receivables Turnover Ratio</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b/>
          <w:bCs/>
          <w:color w:val="404346"/>
          <w:kern w:val="0"/>
          <w:sz w:val="21"/>
          <w:szCs w:val="21"/>
        </w:rPr>
        <w:t>Norms and Limits</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 xml:space="preserve">There is no general norm for the receivables turnover </w:t>
      </w:r>
      <w:proofErr w:type="gramStart"/>
      <w:r w:rsidRPr="00791CC2">
        <w:rPr>
          <w:rFonts w:ascii="Arial" w:eastAsia="新細明體" w:hAnsi="Arial" w:cs="Arial"/>
          <w:color w:val="404346"/>
          <w:kern w:val="0"/>
          <w:sz w:val="21"/>
          <w:szCs w:val="21"/>
        </w:rPr>
        <w:t>ratio,</w:t>
      </w:r>
      <w:proofErr w:type="gramEnd"/>
      <w:r w:rsidRPr="00791CC2">
        <w:rPr>
          <w:rFonts w:ascii="Arial" w:eastAsia="新細明體" w:hAnsi="Arial" w:cs="Arial"/>
          <w:color w:val="404346"/>
          <w:kern w:val="0"/>
          <w:sz w:val="21"/>
          <w:szCs w:val="21"/>
        </w:rPr>
        <w:t xml:space="preserve"> it strongly depends on the industry and other factors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The higher the value of receivable turnover the more efficient is the management of debtors or more liquid the debtors are, the better the company is in terms of collecting their accounts receivables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Similarly, low debtors turnover ratio implies inefficient management of debtors or less liquid debtors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But in some cases too high ratio can indicate that the company's credit lending policies are too stringent, preventing prime borrowing candidates from becoming customers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b/>
          <w:bCs/>
          <w:color w:val="404346"/>
          <w:kern w:val="0"/>
          <w:sz w:val="21"/>
          <w:szCs w:val="21"/>
        </w:rPr>
        <w:t xml:space="preserve">Exact formula in the </w:t>
      </w:r>
      <w:proofErr w:type="spellStart"/>
      <w:r w:rsidRPr="00791CC2">
        <w:rPr>
          <w:rFonts w:ascii="Arial" w:eastAsia="新細明體" w:hAnsi="Arial" w:cs="Arial"/>
          <w:b/>
          <w:bCs/>
          <w:color w:val="404346"/>
          <w:kern w:val="0"/>
          <w:sz w:val="21"/>
          <w:szCs w:val="21"/>
        </w:rPr>
        <w:t>ReadyRatios</w:t>
      </w:r>
      <w:proofErr w:type="spellEnd"/>
      <w:r w:rsidRPr="00791CC2">
        <w:rPr>
          <w:rFonts w:ascii="Arial" w:eastAsia="新細明體" w:hAnsi="Arial" w:cs="Arial"/>
          <w:b/>
          <w:bCs/>
          <w:color w:val="404346"/>
          <w:kern w:val="0"/>
          <w:sz w:val="21"/>
          <w:szCs w:val="21"/>
        </w:rPr>
        <w:t xml:space="preserve"> analytic software </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Average collection period = ((</w:t>
      </w:r>
      <w:proofErr w:type="gramStart"/>
      <w:r w:rsidRPr="00791CC2">
        <w:rPr>
          <w:rFonts w:ascii="Arial" w:eastAsia="新細明體" w:hAnsi="Arial" w:cs="Arial"/>
          <w:color w:val="404346"/>
          <w:kern w:val="0"/>
          <w:sz w:val="21"/>
          <w:szCs w:val="21"/>
        </w:rPr>
        <w:t>F1[</w:t>
      </w:r>
      <w:proofErr w:type="gramEnd"/>
      <w:r w:rsidRPr="00791CC2">
        <w:rPr>
          <w:rFonts w:ascii="Arial" w:eastAsia="新細明體" w:hAnsi="Arial" w:cs="Arial"/>
          <w:color w:val="404346"/>
          <w:kern w:val="0"/>
          <w:sz w:val="21"/>
          <w:szCs w:val="21"/>
        </w:rPr>
        <w:t>b][</w:t>
      </w:r>
      <w:proofErr w:type="spellStart"/>
      <w:r w:rsidRPr="00791CC2">
        <w:rPr>
          <w:rFonts w:ascii="Arial" w:eastAsia="新細明體" w:hAnsi="Arial" w:cs="Arial"/>
          <w:color w:val="404346"/>
          <w:kern w:val="0"/>
          <w:sz w:val="21"/>
          <w:szCs w:val="21"/>
        </w:rPr>
        <w:t>TradeAndOtherCurrentReceivables</w:t>
      </w:r>
      <w:proofErr w:type="spellEnd"/>
      <w:r w:rsidRPr="00791CC2">
        <w:rPr>
          <w:rFonts w:ascii="Arial" w:eastAsia="新細明體" w:hAnsi="Arial" w:cs="Arial"/>
          <w:color w:val="404346"/>
          <w:kern w:val="0"/>
          <w:sz w:val="21"/>
          <w:szCs w:val="21"/>
        </w:rPr>
        <w:t xml:space="preserve">] + F1[e][TradeAndOtherCurrentReceivables])/2)/(F2[Revenue]/NUM_DAYS) </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 xml:space="preserve">Receivables turnover ratio = 365 / Average collection period </w:t>
      </w:r>
    </w:p>
    <w:p w:rsidR="00791CC2" w:rsidRPr="00791CC2" w:rsidRDefault="00791CC2" w:rsidP="00791CC2">
      <w:pPr>
        <w:widowControl/>
        <w:spacing w:before="100" w:beforeAutospacing="1" w:after="100" w:afterAutospacing="1" w:line="330" w:lineRule="atLeast"/>
        <w:rPr>
          <w:rFonts w:ascii="Arial" w:eastAsia="新細明體" w:hAnsi="Arial" w:cs="Arial"/>
          <w:color w:val="404346"/>
          <w:kern w:val="0"/>
          <w:sz w:val="21"/>
          <w:szCs w:val="21"/>
        </w:rPr>
      </w:pPr>
      <w:r w:rsidRPr="00791CC2">
        <w:rPr>
          <w:rFonts w:ascii="Arial" w:eastAsia="新細明體" w:hAnsi="Arial" w:cs="Arial"/>
          <w:color w:val="404346"/>
          <w:kern w:val="0"/>
          <w:sz w:val="21"/>
          <w:szCs w:val="21"/>
        </w:rPr>
        <w:t xml:space="preserve">F2 – </w:t>
      </w:r>
      <w:hyperlink r:id="rId7" w:tooltip="Statement of comprehensive income (definition, norms and limits)" w:history="1">
        <w:r w:rsidRPr="00791CC2">
          <w:rPr>
            <w:rFonts w:ascii="Arial" w:eastAsia="新細明體" w:hAnsi="Arial" w:cs="Arial"/>
            <w:color w:val="4E87BD"/>
            <w:kern w:val="0"/>
            <w:sz w:val="21"/>
            <w:szCs w:val="21"/>
          </w:rPr>
          <w:t>Statement of comprehensive income</w:t>
        </w:r>
      </w:hyperlink>
      <w:r w:rsidRPr="00791CC2">
        <w:rPr>
          <w:rFonts w:ascii="Arial" w:eastAsia="新細明體" w:hAnsi="Arial" w:cs="Arial"/>
          <w:color w:val="404346"/>
          <w:kern w:val="0"/>
          <w:sz w:val="21"/>
          <w:szCs w:val="21"/>
        </w:rPr>
        <w:t xml:space="preserve"> (IFRS)</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t xml:space="preserve"> </w:t>
      </w:r>
      <w:r w:rsidRPr="00791CC2">
        <w:rPr>
          <w:rFonts w:ascii="Arial" w:eastAsia="新細明體" w:hAnsi="Arial" w:cs="Arial"/>
          <w:color w:val="404346"/>
          <w:kern w:val="0"/>
          <w:sz w:val="21"/>
          <w:szCs w:val="21"/>
        </w:rPr>
        <w:br/>
      </w:r>
      <w:proofErr w:type="gramStart"/>
      <w:r w:rsidRPr="00791CC2">
        <w:rPr>
          <w:rFonts w:ascii="Arial" w:eastAsia="新細明體" w:hAnsi="Arial" w:cs="Arial"/>
          <w:color w:val="404346"/>
          <w:kern w:val="0"/>
          <w:sz w:val="21"/>
          <w:szCs w:val="21"/>
        </w:rPr>
        <w:t>F1[</w:t>
      </w:r>
      <w:proofErr w:type="gramEnd"/>
      <w:r w:rsidRPr="00791CC2">
        <w:rPr>
          <w:rFonts w:ascii="Arial" w:eastAsia="新細明體" w:hAnsi="Arial" w:cs="Arial"/>
          <w:color w:val="404346"/>
          <w:kern w:val="0"/>
          <w:sz w:val="21"/>
          <w:szCs w:val="21"/>
        </w:rPr>
        <w:t>b], F1[e] - Statement of financial position (at the [b]</w:t>
      </w:r>
      <w:proofErr w:type="spellStart"/>
      <w:r w:rsidRPr="00791CC2">
        <w:rPr>
          <w:rFonts w:ascii="Arial" w:eastAsia="新細明體" w:hAnsi="Arial" w:cs="Arial"/>
          <w:color w:val="404346"/>
          <w:kern w:val="0"/>
          <w:sz w:val="21"/>
          <w:szCs w:val="21"/>
        </w:rPr>
        <w:t>eginning</w:t>
      </w:r>
      <w:proofErr w:type="spellEnd"/>
      <w:r w:rsidRPr="00791CC2">
        <w:rPr>
          <w:rFonts w:ascii="Arial" w:eastAsia="新細明體" w:hAnsi="Arial" w:cs="Arial"/>
          <w:color w:val="404346"/>
          <w:kern w:val="0"/>
          <w:sz w:val="21"/>
          <w:szCs w:val="21"/>
        </w:rPr>
        <w:t xml:space="preserve"> and at the [e]</w:t>
      </w:r>
      <w:proofErr w:type="spellStart"/>
      <w:r w:rsidRPr="00791CC2">
        <w:rPr>
          <w:rFonts w:ascii="Arial" w:eastAsia="新細明體" w:hAnsi="Arial" w:cs="Arial"/>
          <w:color w:val="404346"/>
          <w:kern w:val="0"/>
          <w:sz w:val="21"/>
          <w:szCs w:val="21"/>
        </w:rPr>
        <w:t>nd</w:t>
      </w:r>
      <w:proofErr w:type="spellEnd"/>
      <w:r w:rsidRPr="00791CC2">
        <w:rPr>
          <w:rFonts w:ascii="Arial" w:eastAsia="新細明體" w:hAnsi="Arial" w:cs="Arial"/>
          <w:color w:val="404346"/>
          <w:kern w:val="0"/>
          <w:sz w:val="21"/>
          <w:szCs w:val="21"/>
        </w:rPr>
        <w:t xml:space="preserve"> of the </w:t>
      </w:r>
      <w:proofErr w:type="spellStart"/>
      <w:r w:rsidRPr="00791CC2">
        <w:rPr>
          <w:rFonts w:ascii="Arial" w:eastAsia="新細明體" w:hAnsi="Arial" w:cs="Arial"/>
          <w:color w:val="404346"/>
          <w:kern w:val="0"/>
          <w:sz w:val="21"/>
          <w:szCs w:val="21"/>
        </w:rPr>
        <w:t>analizing</w:t>
      </w:r>
      <w:proofErr w:type="spellEnd"/>
      <w:r w:rsidRPr="00791CC2">
        <w:rPr>
          <w:rFonts w:ascii="Arial" w:eastAsia="新細明體" w:hAnsi="Arial" w:cs="Arial"/>
          <w:color w:val="404346"/>
          <w:kern w:val="0"/>
          <w:sz w:val="21"/>
          <w:szCs w:val="21"/>
        </w:rPr>
        <w:t xml:space="preserve"> period)</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Pr="00791CC2">
        <w:rPr>
          <w:rFonts w:ascii="Arial" w:eastAsia="新細明體" w:hAnsi="Arial" w:cs="Arial"/>
          <w:color w:val="404346"/>
          <w:kern w:val="0"/>
          <w:sz w:val="21"/>
          <w:szCs w:val="21"/>
        </w:rPr>
        <w:lastRenderedPageBreak/>
        <w:t xml:space="preserve"> </w:t>
      </w:r>
      <w:r w:rsidRPr="00791CC2">
        <w:rPr>
          <w:rFonts w:ascii="Arial" w:eastAsia="新細明體" w:hAnsi="Arial" w:cs="Arial"/>
          <w:color w:val="404346"/>
          <w:kern w:val="0"/>
          <w:sz w:val="21"/>
          <w:szCs w:val="21"/>
        </w:rPr>
        <w:br/>
        <w:t xml:space="preserve">NUM_DAYS – Number of days in the </w:t>
      </w:r>
      <w:proofErr w:type="spellStart"/>
      <w:r w:rsidRPr="00791CC2">
        <w:rPr>
          <w:rFonts w:ascii="Arial" w:eastAsia="新細明體" w:hAnsi="Arial" w:cs="Arial"/>
          <w:color w:val="404346"/>
          <w:kern w:val="0"/>
          <w:sz w:val="21"/>
          <w:szCs w:val="21"/>
        </w:rPr>
        <w:t>the</w:t>
      </w:r>
      <w:proofErr w:type="spellEnd"/>
      <w:r w:rsidRPr="00791CC2">
        <w:rPr>
          <w:rFonts w:ascii="Arial" w:eastAsia="新細明體" w:hAnsi="Arial" w:cs="Arial"/>
          <w:color w:val="404346"/>
          <w:kern w:val="0"/>
          <w:sz w:val="21"/>
          <w:szCs w:val="21"/>
        </w:rPr>
        <w:t xml:space="preserve"> </w:t>
      </w:r>
      <w:proofErr w:type="spellStart"/>
      <w:r w:rsidRPr="00791CC2">
        <w:rPr>
          <w:rFonts w:ascii="Arial" w:eastAsia="新細明體" w:hAnsi="Arial" w:cs="Arial"/>
          <w:color w:val="404346"/>
          <w:kern w:val="0"/>
          <w:sz w:val="21"/>
          <w:szCs w:val="21"/>
        </w:rPr>
        <w:t>analizing</w:t>
      </w:r>
      <w:proofErr w:type="spellEnd"/>
      <w:r w:rsidRPr="00791CC2">
        <w:rPr>
          <w:rFonts w:ascii="Arial" w:eastAsia="新細明體" w:hAnsi="Arial" w:cs="Arial"/>
          <w:color w:val="404346"/>
          <w:kern w:val="0"/>
          <w:sz w:val="21"/>
          <w:szCs w:val="21"/>
        </w:rPr>
        <w:t xml:space="preserve"> period</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p>
    <w:p w:rsidR="009774CF" w:rsidRDefault="00791CC2" w:rsidP="00791CC2">
      <w:r w:rsidRPr="00791CC2">
        <w:rPr>
          <w:rFonts w:ascii="Arial" w:eastAsia="新細明體" w:hAnsi="Arial" w:cs="Arial"/>
          <w:color w:val="404346"/>
          <w:kern w:val="0"/>
          <w:sz w:val="21"/>
          <w:szCs w:val="21"/>
        </w:rPr>
        <w:t>365 – Days in year</w:t>
      </w:r>
      <w:r w:rsidR="00D445BA">
        <w:rPr>
          <w:rFonts w:ascii="Arial" w:eastAsia="新細明體" w:hAnsi="Arial" w:cs="Arial"/>
          <w:color w:val="404346"/>
          <w:kern w:val="0"/>
          <w:sz w:val="21"/>
          <w:szCs w:val="21"/>
        </w:rPr>
        <w:t>.</w:t>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r w:rsidR="00D445BA">
        <w:rPr>
          <w:rFonts w:ascii="Arial" w:eastAsia="新細明體" w:hAnsi="Arial" w:cs="Arial"/>
          <w:color w:val="404346"/>
          <w:kern w:val="0"/>
          <w:sz w:val="21"/>
          <w:szCs w:val="21"/>
        </w:rPr>
        <w:br/>
      </w:r>
    </w:p>
    <w:sectPr w:rsidR="009774CF" w:rsidSect="0055040A">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BE" w:rsidRDefault="002D18BE" w:rsidP="0055040A">
      <w:r>
        <w:separator/>
      </w:r>
    </w:p>
  </w:endnote>
  <w:endnote w:type="continuationSeparator" w:id="0">
    <w:p w:rsidR="002D18BE" w:rsidRDefault="002D18BE"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D445BA" w:rsidRPr="00D445BA">
          <w:rPr>
            <w:noProof/>
            <w:lang w:val="zh-TW"/>
          </w:rPr>
          <w:t>3</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BE" w:rsidRDefault="002D18BE" w:rsidP="0055040A">
      <w:r>
        <w:separator/>
      </w:r>
    </w:p>
  </w:footnote>
  <w:footnote w:type="continuationSeparator" w:id="0">
    <w:p w:rsidR="002D18BE" w:rsidRDefault="002D18BE"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2D18BE"/>
    <w:rsid w:val="0055040A"/>
    <w:rsid w:val="007173A4"/>
    <w:rsid w:val="00791CC2"/>
    <w:rsid w:val="009774CF"/>
    <w:rsid w:val="00D445BA"/>
    <w:rsid w:val="00DC7CEE"/>
    <w:rsid w:val="00E12B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0770">
      <w:bodyDiv w:val="1"/>
      <w:marLeft w:val="0"/>
      <w:marRight w:val="0"/>
      <w:marTop w:val="0"/>
      <w:marBottom w:val="0"/>
      <w:divBdr>
        <w:top w:val="none" w:sz="0" w:space="0" w:color="auto"/>
        <w:left w:val="none" w:sz="0" w:space="0" w:color="auto"/>
        <w:bottom w:val="none" w:sz="0" w:space="0" w:color="auto"/>
        <w:right w:val="none" w:sz="0" w:space="0" w:color="auto"/>
      </w:divBdr>
      <w:divsChild>
        <w:div w:id="220484541">
          <w:marLeft w:val="0"/>
          <w:marRight w:val="0"/>
          <w:marTop w:val="0"/>
          <w:marBottom w:val="0"/>
          <w:divBdr>
            <w:top w:val="none" w:sz="0" w:space="0" w:color="auto"/>
            <w:left w:val="none" w:sz="0" w:space="0" w:color="auto"/>
            <w:bottom w:val="none" w:sz="0" w:space="0" w:color="auto"/>
            <w:right w:val="none" w:sz="0" w:space="0" w:color="auto"/>
          </w:divBdr>
          <w:divsChild>
            <w:div w:id="320618371">
              <w:marLeft w:val="0"/>
              <w:marRight w:val="-4050"/>
              <w:marTop w:val="0"/>
              <w:marBottom w:val="0"/>
              <w:divBdr>
                <w:top w:val="none" w:sz="0" w:space="0" w:color="auto"/>
                <w:left w:val="none" w:sz="0" w:space="0" w:color="auto"/>
                <w:bottom w:val="none" w:sz="0" w:space="0" w:color="auto"/>
                <w:right w:val="none" w:sz="0" w:space="0" w:color="auto"/>
              </w:divBdr>
              <w:divsChild>
                <w:div w:id="1362168813">
                  <w:marLeft w:val="0"/>
                  <w:marRight w:val="4335"/>
                  <w:marTop w:val="0"/>
                  <w:marBottom w:val="0"/>
                  <w:divBdr>
                    <w:top w:val="none" w:sz="0" w:space="0" w:color="auto"/>
                    <w:left w:val="none" w:sz="0" w:space="0" w:color="auto"/>
                    <w:bottom w:val="none" w:sz="0" w:space="0" w:color="auto"/>
                    <w:right w:val="none" w:sz="0" w:space="0" w:color="auto"/>
                  </w:divBdr>
                  <w:divsChild>
                    <w:div w:id="935527183">
                      <w:marLeft w:val="0"/>
                      <w:marRight w:val="0"/>
                      <w:marTop w:val="0"/>
                      <w:marBottom w:val="0"/>
                      <w:divBdr>
                        <w:top w:val="none" w:sz="0" w:space="0" w:color="auto"/>
                        <w:left w:val="none" w:sz="0" w:space="0" w:color="auto"/>
                        <w:bottom w:val="none" w:sz="0" w:space="0" w:color="auto"/>
                        <w:right w:val="none" w:sz="0" w:space="0" w:color="auto"/>
                      </w:divBdr>
                      <w:divsChild>
                        <w:div w:id="616914328">
                          <w:marLeft w:val="0"/>
                          <w:marRight w:val="0"/>
                          <w:marTop w:val="0"/>
                          <w:marBottom w:val="0"/>
                          <w:divBdr>
                            <w:top w:val="none" w:sz="0" w:space="0" w:color="auto"/>
                            <w:left w:val="none" w:sz="0" w:space="0" w:color="auto"/>
                            <w:bottom w:val="single" w:sz="6" w:space="12" w:color="E4ECF4"/>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adyratios.com/reference/accounting/statement_of_comprehensive_incom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411</Words>
  <Characters>2345</Characters>
  <Application>Microsoft Office Word</Application>
  <DocSecurity>0</DocSecurity>
  <Lines>19</Lines>
  <Paragraphs>5</Paragraphs>
  <ScaleCrop>false</ScaleCrop>
  <Company>Hewlett-Packard</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2014-11-02T14:21:00Z</dcterms:created>
  <dcterms:modified xsi:type="dcterms:W3CDTF">2014-11-02T15:42:00Z</dcterms:modified>
</cp:coreProperties>
</file>