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F31" w:rsidRPr="00622F31" w:rsidRDefault="00622F31" w:rsidP="00622F31">
      <w:pPr>
        <w:widowControl/>
        <w:spacing w:before="100" w:beforeAutospacing="1" w:after="100" w:afterAutospacing="1"/>
        <w:outlineLvl w:val="0"/>
        <w:rPr>
          <w:rFonts w:ascii="Arial" w:eastAsia="新細明體" w:hAnsi="Arial" w:cs="Arial"/>
          <w:b/>
          <w:bCs/>
          <w:color w:val="333333"/>
          <w:kern w:val="36"/>
          <w:sz w:val="36"/>
          <w:szCs w:val="36"/>
        </w:rPr>
      </w:pPr>
      <w:r w:rsidRPr="00622F31">
        <w:rPr>
          <w:rFonts w:ascii="Arial" w:eastAsia="新細明體" w:hAnsi="Arial" w:cs="Arial"/>
          <w:b/>
          <w:bCs/>
          <w:color w:val="333333"/>
          <w:kern w:val="36"/>
          <w:sz w:val="36"/>
          <w:szCs w:val="36"/>
        </w:rPr>
        <w:t>Direct Versus Indirect Method of Cash Flows: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622F31" w:rsidRPr="00622F3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622F31" w:rsidRPr="00622F31" w:rsidRDefault="00622F31" w:rsidP="00622F31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</w:p>
        </w:tc>
      </w:tr>
    </w:tbl>
    <w:p w:rsidR="00622F31" w:rsidRPr="00622F31" w:rsidRDefault="00622F31" w:rsidP="00622F31">
      <w:pPr>
        <w:widowControl/>
        <w:rPr>
          <w:rFonts w:ascii="Arial" w:eastAsia="新細明體" w:hAnsi="Arial" w:cs="Arial"/>
          <w:vanish/>
          <w:color w:val="333333"/>
          <w:kern w:val="0"/>
          <w:sz w:val="20"/>
          <w:szCs w:val="20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44"/>
      </w:tblGrid>
      <w:tr w:rsidR="00622F31" w:rsidRPr="00622F31">
        <w:trPr>
          <w:tblCellSpacing w:w="7" w:type="dxa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DFDFD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22F31" w:rsidRPr="00622F31" w:rsidRDefault="00622F31" w:rsidP="00622F31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622F31">
              <w:rPr>
                <w:rFonts w:ascii="Arial" w:eastAsia="新細明體" w:hAnsi="Arial" w:cs="Arial"/>
                <w:b/>
                <w:bCs/>
                <w:color w:val="333333"/>
                <w:kern w:val="0"/>
                <w:sz w:val="20"/>
                <w:szCs w:val="20"/>
              </w:rPr>
              <w:t>Learning Objectives:</w:t>
            </w:r>
          </w:p>
          <w:p w:rsidR="00622F31" w:rsidRPr="00622F31" w:rsidRDefault="00622F31" w:rsidP="00622F31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622F31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What is the difference between direct and indirect method of cash flow statement</w:t>
            </w:r>
            <w:r w:rsidR="00403F3B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?</w:t>
            </w:r>
            <w:r w:rsidR="00403F3B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bookmarkStart w:id="0" w:name="_GoBack"/>
            <w:bookmarkEnd w:id="0"/>
            <w:r w:rsidR="00403F3B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403F3B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</w:p>
          <w:p w:rsidR="00622F31" w:rsidRPr="00622F31" w:rsidRDefault="00622F31" w:rsidP="00622F31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622F31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Calculate net cash provided or used by operating activities using direct and indirect method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.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</w:p>
          <w:p w:rsidR="00622F31" w:rsidRPr="00622F31" w:rsidRDefault="00622F31" w:rsidP="00622F31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622F31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pict>
                <v:rect id="_x0000_i1025" style="width:0;height:.75pt" o:hralign="center" o:hrstd="t" o:hrnoshade="t" o:hr="t" fillcolor="#ccc" stroked="f"/>
              </w:pict>
            </w:r>
          </w:p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450"/>
            </w:tblGrid>
            <w:tr w:rsidR="00622F31" w:rsidRPr="00622F31">
              <w:trPr>
                <w:tblCellSpacing w:w="7" w:type="dxa"/>
              </w:trPr>
              <w:tc>
                <w:tcPr>
                  <w:tcW w:w="0" w:type="auto"/>
                  <w:tcBorders>
                    <w:top w:val="single" w:sz="6" w:space="0" w:color="FFCC99"/>
                    <w:left w:val="single" w:sz="6" w:space="0" w:color="FFCC99"/>
                    <w:bottom w:val="single" w:sz="6" w:space="0" w:color="FFCC99"/>
                    <w:right w:val="single" w:sz="6" w:space="0" w:color="FFCC99"/>
                  </w:tcBorders>
                  <w:shd w:val="clear" w:color="auto" w:fill="FFFFCC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  <w:hideMark/>
                </w:tcPr>
                <w:p w:rsidR="00622F31" w:rsidRPr="00622F31" w:rsidRDefault="00622F31" w:rsidP="00622F31">
                  <w:pPr>
                    <w:widowControl/>
                    <w:rPr>
                      <w:rFonts w:ascii="Arial" w:eastAsia="新細明體" w:hAnsi="Arial" w:cs="Arial"/>
                      <w:color w:val="333333"/>
                      <w:kern w:val="0"/>
                      <w:sz w:val="20"/>
                      <w:szCs w:val="20"/>
                    </w:rPr>
                  </w:pPr>
                  <w:r w:rsidRPr="00622F31">
                    <w:rPr>
                      <w:rFonts w:ascii="Arial" w:eastAsia="新細明體" w:hAnsi="Arial" w:cs="Arial"/>
                      <w:color w:val="FF0000"/>
                      <w:kern w:val="0"/>
                      <w:sz w:val="20"/>
                      <w:szCs w:val="20"/>
                    </w:rPr>
                    <w:t>If you are really serious about learning cash flows from operating activities then read this page very carefully</w:t>
                  </w:r>
                  <w:r w:rsidR="00DA4EAF">
                    <w:rPr>
                      <w:rFonts w:ascii="Arial" w:eastAsia="新細明體" w:hAnsi="Arial" w:cs="Arial"/>
                      <w:color w:val="FF0000"/>
                      <w:kern w:val="0"/>
                      <w:sz w:val="20"/>
                      <w:szCs w:val="20"/>
                    </w:rPr>
                    <w:t>.</w:t>
                  </w:r>
                  <w:r w:rsidR="00DA4EAF">
                    <w:rPr>
                      <w:rFonts w:ascii="Arial" w:eastAsia="新細明體" w:hAnsi="Arial" w:cs="Arial"/>
                      <w:color w:val="FF0000"/>
                      <w:kern w:val="0"/>
                      <w:sz w:val="20"/>
                      <w:szCs w:val="20"/>
                    </w:rPr>
                    <w:br/>
                  </w:r>
                  <w:r w:rsidR="00DA4EAF">
                    <w:rPr>
                      <w:rFonts w:ascii="Arial" w:eastAsia="新細明體" w:hAnsi="Arial" w:cs="Arial"/>
                      <w:color w:val="FF0000"/>
                      <w:kern w:val="0"/>
                      <w:sz w:val="20"/>
                      <w:szCs w:val="20"/>
                    </w:rPr>
                    <w:br/>
                  </w:r>
                  <w:r w:rsidR="00DA4EAF">
                    <w:rPr>
                      <w:rFonts w:ascii="Arial" w:eastAsia="新細明體" w:hAnsi="Arial" w:cs="Arial"/>
                      <w:color w:val="FF0000"/>
                      <w:kern w:val="0"/>
                      <w:sz w:val="20"/>
                      <w:szCs w:val="20"/>
                    </w:rPr>
                    <w:br/>
                  </w:r>
                  <w:r w:rsidRPr="00622F31">
                    <w:rPr>
                      <w:rFonts w:ascii="Arial" w:eastAsia="新細明體" w:hAnsi="Arial" w:cs="Arial"/>
                      <w:color w:val="FF0000"/>
                      <w:kern w:val="0"/>
                      <w:sz w:val="20"/>
                      <w:szCs w:val="20"/>
                    </w:rPr>
                    <w:t xml:space="preserve"> You will find significant improvement in your understandings</w:t>
                  </w:r>
                  <w:r w:rsidR="00DA4EAF">
                    <w:rPr>
                      <w:rFonts w:ascii="Arial" w:eastAsia="新細明體" w:hAnsi="Arial" w:cs="Arial"/>
                      <w:color w:val="FF0000"/>
                      <w:kern w:val="0"/>
                      <w:sz w:val="20"/>
                      <w:szCs w:val="20"/>
                    </w:rPr>
                    <w:t>.</w:t>
                  </w:r>
                  <w:r w:rsidR="00DA4EAF">
                    <w:rPr>
                      <w:rFonts w:ascii="Arial" w:eastAsia="新細明體" w:hAnsi="Arial" w:cs="Arial"/>
                      <w:color w:val="FF0000"/>
                      <w:kern w:val="0"/>
                      <w:sz w:val="20"/>
                      <w:szCs w:val="20"/>
                    </w:rPr>
                    <w:br/>
                  </w:r>
                  <w:r w:rsidR="00DA4EAF">
                    <w:rPr>
                      <w:rFonts w:ascii="Arial" w:eastAsia="新細明體" w:hAnsi="Arial" w:cs="Arial"/>
                      <w:color w:val="FF0000"/>
                      <w:kern w:val="0"/>
                      <w:sz w:val="20"/>
                      <w:szCs w:val="20"/>
                    </w:rPr>
                    <w:br/>
                  </w:r>
                  <w:r w:rsidR="00DA4EAF">
                    <w:rPr>
                      <w:rFonts w:ascii="Arial" w:eastAsia="新細明體" w:hAnsi="Arial" w:cs="Arial"/>
                      <w:color w:val="FF0000"/>
                      <w:kern w:val="0"/>
                      <w:sz w:val="20"/>
                      <w:szCs w:val="20"/>
                    </w:rPr>
                    <w:br/>
                  </w:r>
                </w:p>
              </w:tc>
            </w:tr>
          </w:tbl>
          <w:p w:rsidR="00622F31" w:rsidRPr="00622F31" w:rsidRDefault="00622F31" w:rsidP="00622F31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622F31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 xml:space="preserve">Two different methods available to adjust income from operations on an accrual basis to net cash flow from operating activities are the </w:t>
            </w:r>
            <w:hyperlink r:id="rId8" w:tgtFrame="_blank" w:history="1">
              <w:r w:rsidRPr="00622F31">
                <w:rPr>
                  <w:rFonts w:ascii="Arial" w:eastAsia="新細明體" w:hAnsi="Arial" w:cs="Arial"/>
                  <w:color w:val="0299E0"/>
                  <w:kern w:val="0"/>
                  <w:sz w:val="20"/>
                  <w:szCs w:val="20"/>
                </w:rPr>
                <w:t>indirect (reconciliation) method</w:t>
              </w:r>
            </w:hyperlink>
            <w:r w:rsidRPr="00622F31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 xml:space="preserve"> and the </w:t>
            </w:r>
            <w:hyperlink r:id="rId9" w:tgtFrame="_blank" w:history="1">
              <w:r w:rsidRPr="00622F31">
                <w:rPr>
                  <w:rFonts w:ascii="Arial" w:eastAsia="新細明體" w:hAnsi="Arial" w:cs="Arial"/>
                  <w:color w:val="0299E0"/>
                  <w:kern w:val="0"/>
                  <w:sz w:val="20"/>
                  <w:szCs w:val="20"/>
                </w:rPr>
                <w:t>direct (income statement) method</w:t>
              </w:r>
            </w:hyperlink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.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</w:p>
          <w:p w:rsidR="00622F31" w:rsidRPr="00622F31" w:rsidRDefault="00622F31" w:rsidP="00622F31">
            <w:pPr>
              <w:widowControl/>
              <w:spacing w:before="100" w:beforeAutospacing="1" w:after="100" w:afterAutospacing="1"/>
              <w:outlineLvl w:val="1"/>
              <w:rPr>
                <w:rFonts w:ascii="Arial" w:eastAsia="新細明體" w:hAnsi="Arial" w:cs="Arial"/>
                <w:b/>
                <w:bCs/>
                <w:color w:val="0299E0"/>
                <w:kern w:val="0"/>
                <w:sz w:val="28"/>
                <w:szCs w:val="28"/>
              </w:rPr>
            </w:pPr>
            <w:r w:rsidRPr="00622F31">
              <w:rPr>
                <w:rFonts w:ascii="Arial" w:eastAsia="新細明體" w:hAnsi="Arial" w:cs="Arial"/>
                <w:b/>
                <w:bCs/>
                <w:color w:val="0299E0"/>
                <w:kern w:val="0"/>
                <w:sz w:val="28"/>
                <w:szCs w:val="28"/>
              </w:rPr>
              <w:t>Indirect Method or Reconciliation Method:</w:t>
            </w:r>
          </w:p>
          <w:p w:rsidR="00622F31" w:rsidRPr="00622F31" w:rsidRDefault="00622F31" w:rsidP="00622F31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622F31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Indirect method is the most widely used method for the calculation of net cash flow from operating activities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.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Pr="00622F31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 xml:space="preserve"> Under this method, net cash provided or used by operating activities is determined by adding back or deducting from net income those items that do not effect on cash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.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Pr="00622F31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 xml:space="preserve"> The following are the common types of adjustments that are made to net income to arrive at net cash flow from operating activities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.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lastRenderedPageBreak/>
              <w:br/>
            </w:r>
          </w:p>
          <w:p w:rsidR="00622F31" w:rsidRPr="00622F31" w:rsidRDefault="00622F31" w:rsidP="00622F31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622F31">
              <w:rPr>
                <w:rFonts w:ascii="Arial" w:eastAsia="新細明體" w:hAnsi="Arial" w:cs="Arial"/>
                <w:b/>
                <w:bCs/>
                <w:color w:val="FF6600"/>
                <w:kern w:val="0"/>
                <w:sz w:val="20"/>
                <w:szCs w:val="20"/>
              </w:rPr>
              <w:t>Adjustments Needed to Determine Net Cash Flow from Operating Activities Using Indirect Method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450"/>
            </w:tblGrid>
            <w:tr w:rsidR="00622F31" w:rsidRPr="00622F3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8"/>
                    <w:gridCol w:w="5222"/>
                  </w:tblGrid>
                  <w:tr w:rsidR="00622F31" w:rsidRPr="00622F31">
                    <w:trPr>
                      <w:trHeight w:val="375"/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b/>
                            <w:bCs/>
                            <w:color w:val="333333"/>
                            <w:kern w:val="0"/>
                            <w:sz w:val="20"/>
                            <w:szCs w:val="20"/>
                          </w:rPr>
                          <w:t>Net Income</w:t>
                        </w:r>
                      </w:p>
                    </w:tc>
                  </w:tr>
                  <w:tr w:rsidR="00622F31" w:rsidRPr="00622F31">
                    <w:trPr>
                      <w:trHeight w:val="375"/>
                      <w:tblCellSpacing w:w="15" w:type="dxa"/>
                    </w:trPr>
                    <w:tc>
                      <w:tcPr>
                        <w:tcW w:w="24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b/>
                            <w:bCs/>
                            <w:color w:val="333333"/>
                            <w:kern w:val="0"/>
                            <w:sz w:val="20"/>
                            <w:szCs w:val="20"/>
                            <w:u w:val="single"/>
                          </w:rPr>
                          <w:t>Additions</w:t>
                        </w:r>
                      </w:p>
                    </w:tc>
                    <w:tc>
                      <w:tcPr>
                        <w:tcW w:w="25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b/>
                            <w:bCs/>
                            <w:color w:val="333333"/>
                            <w:kern w:val="0"/>
                            <w:sz w:val="20"/>
                            <w:szCs w:val="20"/>
                            <w:u w:val="single"/>
                          </w:rPr>
                          <w:t>Deductions</w:t>
                        </w:r>
                      </w:p>
                    </w:tc>
                  </w:tr>
                  <w:tr w:rsidR="00622F31" w:rsidRPr="00622F31">
                    <w:trPr>
                      <w:trHeight w:val="375"/>
                      <w:tblCellSpacing w:w="15" w:type="dxa"/>
                    </w:trPr>
                    <w:tc>
                      <w:tcPr>
                        <w:tcW w:w="24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Depreciation expense</w:t>
                        </w:r>
                      </w:p>
                    </w:tc>
                    <w:tc>
                      <w:tcPr>
                        <w:tcW w:w="25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Amortization of bond premium</w:t>
                        </w:r>
                      </w:p>
                    </w:tc>
                  </w:tr>
                  <w:tr w:rsidR="00622F31" w:rsidRPr="00622F31">
                    <w:trPr>
                      <w:trHeight w:val="375"/>
                      <w:tblCellSpacing w:w="15" w:type="dxa"/>
                    </w:trPr>
                    <w:tc>
                      <w:tcPr>
                        <w:tcW w:w="24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Importance of intangibles and deferred charges</w:t>
                        </w:r>
                      </w:p>
                    </w:tc>
                    <w:tc>
                      <w:tcPr>
                        <w:tcW w:w="25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Decrease in deferred income tax liabilities</w:t>
                        </w:r>
                      </w:p>
                    </w:tc>
                  </w:tr>
                  <w:tr w:rsidR="00622F31" w:rsidRPr="00622F31">
                    <w:trPr>
                      <w:trHeight w:val="375"/>
                      <w:tblCellSpacing w:w="15" w:type="dxa"/>
                    </w:trPr>
                    <w:tc>
                      <w:tcPr>
                        <w:tcW w:w="24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Amortization of bond discount</w:t>
                        </w:r>
                      </w:p>
                    </w:tc>
                    <w:tc>
                      <w:tcPr>
                        <w:tcW w:w="25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Income on investment in common stock using equity method</w:t>
                        </w:r>
                      </w:p>
                    </w:tc>
                  </w:tr>
                  <w:tr w:rsidR="00622F31" w:rsidRPr="00622F31">
                    <w:trPr>
                      <w:trHeight w:val="375"/>
                      <w:tblCellSpacing w:w="15" w:type="dxa"/>
                    </w:trPr>
                    <w:tc>
                      <w:tcPr>
                        <w:tcW w:w="24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Increase in deferred income tax liability</w:t>
                        </w:r>
                      </w:p>
                    </w:tc>
                    <w:tc>
                      <w:tcPr>
                        <w:tcW w:w="25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Gain on sale of plant assets</w:t>
                        </w:r>
                      </w:p>
                    </w:tc>
                  </w:tr>
                  <w:tr w:rsidR="00622F31" w:rsidRPr="00622F31">
                    <w:trPr>
                      <w:trHeight w:val="375"/>
                      <w:tblCellSpacing w:w="15" w:type="dxa"/>
                    </w:trPr>
                    <w:tc>
                      <w:tcPr>
                        <w:tcW w:w="24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Loss on investment in common stock using equity method</w:t>
                        </w:r>
                      </w:p>
                    </w:tc>
                    <w:tc>
                      <w:tcPr>
                        <w:tcW w:w="25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Increase in receivables</w:t>
                        </w:r>
                      </w:p>
                    </w:tc>
                  </w:tr>
                  <w:tr w:rsidR="00622F31" w:rsidRPr="00622F31">
                    <w:trPr>
                      <w:trHeight w:val="375"/>
                      <w:tblCellSpacing w:w="15" w:type="dxa"/>
                    </w:trPr>
                    <w:tc>
                      <w:tcPr>
                        <w:tcW w:w="24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Loss on sale of plant assets</w:t>
                        </w:r>
                      </w:p>
                    </w:tc>
                    <w:tc>
                      <w:tcPr>
                        <w:tcW w:w="25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Increase in inventories</w:t>
                        </w:r>
                      </w:p>
                    </w:tc>
                  </w:tr>
                  <w:tr w:rsidR="00622F31" w:rsidRPr="00622F31">
                    <w:trPr>
                      <w:trHeight w:val="375"/>
                      <w:tblCellSpacing w:w="15" w:type="dxa"/>
                    </w:trPr>
                    <w:tc>
                      <w:tcPr>
                        <w:tcW w:w="24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Loss on written down of assets</w:t>
                        </w:r>
                      </w:p>
                    </w:tc>
                    <w:tc>
                      <w:tcPr>
                        <w:tcW w:w="25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Increase in prepaid expenses</w:t>
                        </w:r>
                      </w:p>
                    </w:tc>
                  </w:tr>
                  <w:tr w:rsidR="00622F31" w:rsidRPr="00622F31">
                    <w:trPr>
                      <w:trHeight w:val="375"/>
                      <w:tblCellSpacing w:w="15" w:type="dxa"/>
                    </w:trPr>
                    <w:tc>
                      <w:tcPr>
                        <w:tcW w:w="24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Decrease in receivables</w:t>
                        </w:r>
                      </w:p>
                    </w:tc>
                    <w:tc>
                      <w:tcPr>
                        <w:tcW w:w="25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Decrease in accounts payable</w:t>
                        </w:r>
                      </w:p>
                    </w:tc>
                  </w:tr>
                  <w:tr w:rsidR="00622F31" w:rsidRPr="00622F31">
                    <w:trPr>
                      <w:trHeight w:val="375"/>
                      <w:tblCellSpacing w:w="15" w:type="dxa"/>
                    </w:trPr>
                    <w:tc>
                      <w:tcPr>
                        <w:tcW w:w="24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Decrease in inventories</w:t>
                        </w:r>
                      </w:p>
                    </w:tc>
                    <w:tc>
                      <w:tcPr>
                        <w:tcW w:w="25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Decrease in accrued liabilities</w:t>
                        </w:r>
                      </w:p>
                    </w:tc>
                  </w:tr>
                  <w:tr w:rsidR="00622F31" w:rsidRPr="00622F31">
                    <w:trPr>
                      <w:trHeight w:val="375"/>
                      <w:tblCellSpacing w:w="15" w:type="dxa"/>
                    </w:trPr>
                    <w:tc>
                      <w:tcPr>
                        <w:tcW w:w="24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Decrease in prepaid expenses</w:t>
                        </w:r>
                      </w:p>
                    </w:tc>
                    <w:tc>
                      <w:tcPr>
                        <w:tcW w:w="25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622F31" w:rsidRPr="00622F31">
                    <w:trPr>
                      <w:trHeight w:val="375"/>
                      <w:tblCellSpacing w:w="15" w:type="dxa"/>
                    </w:trPr>
                    <w:tc>
                      <w:tcPr>
                        <w:tcW w:w="24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Increase in accounts payable</w:t>
                        </w:r>
                      </w:p>
                    </w:tc>
                    <w:tc>
                      <w:tcPr>
                        <w:tcW w:w="25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622F31" w:rsidRPr="00622F31">
                    <w:trPr>
                      <w:trHeight w:val="375"/>
                      <w:tblCellSpacing w:w="15" w:type="dxa"/>
                    </w:trPr>
                    <w:tc>
                      <w:tcPr>
                        <w:tcW w:w="24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Increase in accrued liabilities</w:t>
                        </w:r>
                      </w:p>
                    </w:tc>
                    <w:tc>
                      <w:tcPr>
                        <w:tcW w:w="25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22F31" w:rsidRPr="00622F31" w:rsidRDefault="00622F31" w:rsidP="00622F31">
                  <w:pPr>
                    <w:widowControl/>
                    <w:rPr>
                      <w:rFonts w:ascii="Arial" w:eastAsia="新細明體" w:hAnsi="Arial" w:cs="Arial"/>
                      <w:color w:val="333333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622F31" w:rsidRPr="00622F31" w:rsidRDefault="00622F31" w:rsidP="00622F31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622F31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The additions and deductions listed above reconcile net income to net cash flow from operating activities, illustrating the reason for referring to the indirect method as reconciliation method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.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</w:p>
          <w:tbl>
            <w:tblPr>
              <w:tblW w:w="5000" w:type="pct"/>
              <w:tblCellSpacing w:w="1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CC"/>
              <w:tblCellMar>
                <w:top w:w="15" w:type="dxa"/>
                <w:left w:w="60" w:type="dxa"/>
                <w:bottom w:w="15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0450"/>
            </w:tblGrid>
            <w:tr w:rsidR="00622F31" w:rsidRPr="00622F31">
              <w:trPr>
                <w:tblCellSpacing w:w="15" w:type="dxa"/>
              </w:trPr>
              <w:tc>
                <w:tcPr>
                  <w:tcW w:w="0" w:type="auto"/>
                  <w:shd w:val="clear" w:color="auto" w:fill="FFFFCC"/>
                  <w:vAlign w:val="center"/>
                  <w:hideMark/>
                </w:tcPr>
                <w:p w:rsidR="00622F31" w:rsidRPr="00622F31" w:rsidRDefault="00622F31" w:rsidP="00622F31">
                  <w:pPr>
                    <w:widowControl/>
                    <w:spacing w:before="100" w:beforeAutospacing="1" w:after="100" w:afterAutospacing="1"/>
                    <w:rPr>
                      <w:rFonts w:ascii="Arial" w:eastAsia="新細明體" w:hAnsi="Arial" w:cs="Arial"/>
                      <w:color w:val="333333"/>
                      <w:kern w:val="0"/>
                      <w:sz w:val="20"/>
                      <w:szCs w:val="20"/>
                    </w:rPr>
                  </w:pPr>
                  <w:r w:rsidRPr="00622F31">
                    <w:rPr>
                      <w:rFonts w:ascii="Arial" w:eastAsia="新細明體" w:hAnsi="Arial" w:cs="Arial"/>
                      <w:b/>
                      <w:bCs/>
                      <w:i/>
                      <w:iCs/>
                      <w:color w:val="333333"/>
                      <w:kern w:val="0"/>
                      <w:sz w:val="20"/>
                      <w:szCs w:val="20"/>
                    </w:rPr>
                    <w:t>Note:</w:t>
                  </w:r>
                  <w:r w:rsidRPr="00622F31">
                    <w:rPr>
                      <w:rFonts w:ascii="Arial" w:eastAsia="新細明體" w:hAnsi="Arial" w:cs="Arial"/>
                      <w:color w:val="333333"/>
                      <w:kern w:val="0"/>
                      <w:sz w:val="20"/>
                      <w:szCs w:val="20"/>
                    </w:rPr>
                    <w:t xml:space="preserve"> Direct and indirect methods are different only to the extent of the calculation of cash flows from operating </w:t>
                  </w:r>
                  <w:proofErr w:type="gramStart"/>
                  <w:r w:rsidRPr="00622F31">
                    <w:rPr>
                      <w:rFonts w:ascii="Arial" w:eastAsia="新細明體" w:hAnsi="Arial" w:cs="Arial"/>
                      <w:color w:val="333333"/>
                      <w:kern w:val="0"/>
                      <w:sz w:val="20"/>
                      <w:szCs w:val="20"/>
                    </w:rPr>
                    <w:t>activities,</w:t>
                  </w:r>
                  <w:proofErr w:type="gramEnd"/>
                  <w:r w:rsidRPr="00622F31">
                    <w:rPr>
                      <w:rFonts w:ascii="Arial" w:eastAsia="新細明體" w:hAnsi="Arial" w:cs="Arial"/>
                      <w:color w:val="333333"/>
                      <w:kern w:val="0"/>
                      <w:sz w:val="20"/>
                      <w:szCs w:val="20"/>
                    </w:rPr>
                    <w:t xml:space="preserve"> cash flows from investing and financing activities are calculated in the same manner</w:t>
                  </w:r>
                  <w:r w:rsidR="00DA4EAF">
                    <w:rPr>
                      <w:rFonts w:ascii="Arial" w:eastAsia="新細明體" w:hAnsi="Arial" w:cs="Arial"/>
                      <w:color w:val="333333"/>
                      <w:kern w:val="0"/>
                      <w:sz w:val="20"/>
                      <w:szCs w:val="20"/>
                    </w:rPr>
                    <w:t>.</w:t>
                  </w:r>
                  <w:r w:rsidR="00DA4EAF">
                    <w:rPr>
                      <w:rFonts w:ascii="Arial" w:eastAsia="新細明體" w:hAnsi="Arial" w:cs="Arial"/>
                      <w:color w:val="333333"/>
                      <w:kern w:val="0"/>
                      <w:sz w:val="20"/>
                      <w:szCs w:val="20"/>
                    </w:rPr>
                    <w:br/>
                  </w:r>
                  <w:r w:rsidR="00DA4EAF">
                    <w:rPr>
                      <w:rFonts w:ascii="Arial" w:eastAsia="新細明體" w:hAnsi="Arial" w:cs="Arial"/>
                      <w:color w:val="333333"/>
                      <w:kern w:val="0"/>
                      <w:sz w:val="20"/>
                      <w:szCs w:val="20"/>
                    </w:rPr>
                    <w:br/>
                  </w:r>
                  <w:r w:rsidR="00DA4EAF">
                    <w:rPr>
                      <w:rFonts w:ascii="Arial" w:eastAsia="新細明體" w:hAnsi="Arial" w:cs="Arial"/>
                      <w:color w:val="333333"/>
                      <w:kern w:val="0"/>
                      <w:sz w:val="20"/>
                      <w:szCs w:val="20"/>
                    </w:rPr>
                    <w:br/>
                  </w:r>
                </w:p>
              </w:tc>
            </w:tr>
          </w:tbl>
          <w:p w:rsidR="00622F31" w:rsidRPr="00622F31" w:rsidRDefault="00622F31" w:rsidP="00622F31">
            <w:pPr>
              <w:widowControl/>
              <w:spacing w:before="100" w:beforeAutospacing="1" w:after="100" w:afterAutospacing="1"/>
              <w:outlineLvl w:val="2"/>
              <w:rPr>
                <w:rFonts w:ascii="Arial" w:eastAsia="新細明體" w:hAnsi="Arial" w:cs="Arial"/>
                <w:b/>
                <w:bCs/>
                <w:color w:val="FF6600"/>
                <w:kern w:val="0"/>
                <w:szCs w:val="24"/>
              </w:rPr>
            </w:pPr>
            <w:r w:rsidRPr="00622F31">
              <w:rPr>
                <w:rFonts w:ascii="Arial" w:eastAsia="新細明體" w:hAnsi="Arial" w:cs="Arial"/>
                <w:b/>
                <w:bCs/>
                <w:color w:val="FF6600"/>
                <w:kern w:val="0"/>
                <w:szCs w:val="24"/>
              </w:rPr>
              <w:t>Example: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450"/>
            </w:tblGrid>
            <w:tr w:rsidR="00622F31" w:rsidRPr="00622F3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67"/>
                    <w:gridCol w:w="1440"/>
                    <w:gridCol w:w="1533"/>
                  </w:tblGrid>
                  <w:tr w:rsidR="00622F31" w:rsidRPr="00622F31">
                    <w:trPr>
                      <w:trHeight w:val="300"/>
                      <w:tblCellSpacing w:w="0" w:type="dxa"/>
                    </w:trPr>
                    <w:tc>
                      <w:tcPr>
                        <w:tcW w:w="35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b/>
                            <w:bCs/>
                            <w:color w:val="333333"/>
                            <w:kern w:val="0"/>
                            <w:sz w:val="15"/>
                            <w:szCs w:val="15"/>
                            <w:u w:val="single"/>
                          </w:rPr>
                          <w:t>Cash flow from operating activities: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22F31" w:rsidRPr="00622F31">
                    <w:trPr>
                      <w:trHeight w:val="300"/>
                      <w:tblCellSpacing w:w="0" w:type="dxa"/>
                    </w:trPr>
                    <w:tc>
                      <w:tcPr>
                        <w:tcW w:w="35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Net income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117000</w:t>
                        </w:r>
                      </w:p>
                    </w:tc>
                  </w:tr>
                  <w:tr w:rsidR="00622F31" w:rsidRPr="00622F31">
                    <w:trPr>
                      <w:trHeight w:val="300"/>
                      <w:tblCellSpacing w:w="0" w:type="dxa"/>
                    </w:trPr>
                    <w:tc>
                      <w:tcPr>
                        <w:tcW w:w="35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lastRenderedPageBreak/>
                          <w:t>Adjustments to reconcile net income to net cash used/provided  by operating by activities: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22F31" w:rsidRPr="00622F31">
                    <w:trPr>
                      <w:trHeight w:val="300"/>
                      <w:tblCellSpacing w:w="0" w:type="dxa"/>
                    </w:trPr>
                    <w:tc>
                      <w:tcPr>
                        <w:tcW w:w="35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   Depreciation expenses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14,800</w:t>
                        </w:r>
                      </w:p>
                    </w:tc>
                    <w:tc>
                      <w:tcPr>
                        <w:tcW w:w="7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22F31" w:rsidRPr="00622F31">
                    <w:trPr>
                      <w:trHeight w:val="300"/>
                      <w:tblCellSpacing w:w="0" w:type="dxa"/>
                    </w:trPr>
                    <w:tc>
                      <w:tcPr>
                        <w:tcW w:w="35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   Amortization of trade mark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2,400</w:t>
                        </w:r>
                      </w:p>
                    </w:tc>
                    <w:tc>
                      <w:tcPr>
                        <w:tcW w:w="7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22F31" w:rsidRPr="00622F31">
                    <w:trPr>
                      <w:trHeight w:val="300"/>
                      <w:tblCellSpacing w:w="0" w:type="dxa"/>
                    </w:trPr>
                    <w:tc>
                      <w:tcPr>
                        <w:tcW w:w="35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   Amortization of bond premium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(1,000)</w:t>
                        </w:r>
                      </w:p>
                    </w:tc>
                    <w:tc>
                      <w:tcPr>
                        <w:tcW w:w="7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22F31" w:rsidRPr="00622F31">
                    <w:trPr>
                      <w:trHeight w:val="300"/>
                      <w:tblCellSpacing w:w="0" w:type="dxa"/>
                    </w:trPr>
                    <w:tc>
                      <w:tcPr>
                        <w:tcW w:w="35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   Equity in earnings of Porter Co</w:t>
                        </w:r>
                        <w:r w:rsidR="00DA4EAF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.</w:t>
                        </w:r>
                        <w:r w:rsidR="00DA4EAF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br/>
                        </w:r>
                        <w:r w:rsidR="00DA4EAF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br/>
                        </w:r>
                        <w:r w:rsidR="00DA4EAF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br/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(3,500)</w:t>
                        </w:r>
                      </w:p>
                    </w:tc>
                    <w:tc>
                      <w:tcPr>
                        <w:tcW w:w="7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22F31" w:rsidRPr="00622F31">
                    <w:trPr>
                      <w:trHeight w:val="300"/>
                      <w:tblCellSpacing w:w="0" w:type="dxa"/>
                    </w:trPr>
                    <w:tc>
                      <w:tcPr>
                        <w:tcW w:w="35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   Gain on condemnation of land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(8,000)</w:t>
                        </w:r>
                      </w:p>
                    </w:tc>
                    <w:tc>
                      <w:tcPr>
                        <w:tcW w:w="7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22F31" w:rsidRPr="00622F31">
                    <w:trPr>
                      <w:trHeight w:val="300"/>
                      <w:tblCellSpacing w:w="0" w:type="dxa"/>
                    </w:trPr>
                    <w:tc>
                      <w:tcPr>
                        <w:tcW w:w="35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   Loss on sale of equipment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1,500</w:t>
                        </w:r>
                      </w:p>
                    </w:tc>
                    <w:tc>
                      <w:tcPr>
                        <w:tcW w:w="7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22F31" w:rsidRPr="00622F31">
                    <w:trPr>
                      <w:trHeight w:val="300"/>
                      <w:tblCellSpacing w:w="0" w:type="dxa"/>
                    </w:trPr>
                    <w:tc>
                      <w:tcPr>
                        <w:tcW w:w="35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   Increase in deferred tax liabilities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3,000</w:t>
                        </w:r>
                      </w:p>
                    </w:tc>
                    <w:tc>
                      <w:tcPr>
                        <w:tcW w:w="7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22F31" w:rsidRPr="00622F31">
                    <w:trPr>
                      <w:trHeight w:val="300"/>
                      <w:tblCellSpacing w:w="0" w:type="dxa"/>
                    </w:trPr>
                    <w:tc>
                      <w:tcPr>
                        <w:tcW w:w="35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   Increase in accounts receivable (net)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(53,000)</w:t>
                        </w:r>
                      </w:p>
                    </w:tc>
                    <w:tc>
                      <w:tcPr>
                        <w:tcW w:w="7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22F31" w:rsidRPr="00622F31">
                    <w:trPr>
                      <w:trHeight w:val="300"/>
                      <w:tblCellSpacing w:w="0" w:type="dxa"/>
                    </w:trPr>
                    <w:tc>
                      <w:tcPr>
                        <w:tcW w:w="35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   Increase in inventories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(152,000)</w:t>
                        </w:r>
                      </w:p>
                    </w:tc>
                    <w:tc>
                      <w:tcPr>
                        <w:tcW w:w="7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22F31" w:rsidRPr="00622F31">
                    <w:trPr>
                      <w:trHeight w:val="300"/>
                      <w:tblCellSpacing w:w="0" w:type="dxa"/>
                    </w:trPr>
                    <w:tc>
                      <w:tcPr>
                        <w:tcW w:w="35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   Decrease in prepaid expenses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500</w:t>
                        </w:r>
                      </w:p>
                    </w:tc>
                    <w:tc>
                      <w:tcPr>
                        <w:tcW w:w="7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22F31" w:rsidRPr="00622F31">
                    <w:trPr>
                      <w:trHeight w:val="300"/>
                      <w:tblCellSpacing w:w="0" w:type="dxa"/>
                    </w:trPr>
                    <w:tc>
                      <w:tcPr>
                        <w:tcW w:w="35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   Increase in accounts payable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1,000</w:t>
                        </w:r>
                      </w:p>
                    </w:tc>
                    <w:tc>
                      <w:tcPr>
                        <w:tcW w:w="7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22F31" w:rsidRPr="00622F31">
                    <w:trPr>
                      <w:trHeight w:val="300"/>
                      <w:tblCellSpacing w:w="0" w:type="dxa"/>
                    </w:trPr>
                    <w:tc>
                      <w:tcPr>
                        <w:tcW w:w="35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   Increase in accrued liabilities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4,000</w:t>
                        </w:r>
                      </w:p>
                    </w:tc>
                    <w:tc>
                      <w:tcPr>
                        <w:tcW w:w="7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622F31" w:rsidRPr="00622F31">
                    <w:trPr>
                      <w:trHeight w:val="300"/>
                      <w:tblCellSpacing w:w="0" w:type="dxa"/>
                    </w:trPr>
                    <w:tc>
                      <w:tcPr>
                        <w:tcW w:w="35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   Decrease in income tax payable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(13,000)</w:t>
                        </w:r>
                      </w:p>
                    </w:tc>
                    <w:tc>
                      <w:tcPr>
                        <w:tcW w:w="7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203,500</w:t>
                        </w:r>
                      </w:p>
                    </w:tc>
                  </w:tr>
                  <w:tr w:rsidR="00622F31" w:rsidRPr="00622F31">
                    <w:trPr>
                      <w:trHeight w:val="300"/>
                      <w:tblCellSpacing w:w="0" w:type="dxa"/>
                    </w:trPr>
                    <w:tc>
                      <w:tcPr>
                        <w:tcW w:w="35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  <w:pict>
                            <v:rect id="_x0000_i1026" style="width:362.8pt;height:.75pt" o:hrpct="800" o:hralign="center" o:hrstd="t" o:hrnoshade="t" o:hr="t" fillcolor="black" stroked="f"/>
                          </w:pict>
                        </w:r>
                      </w:p>
                    </w:tc>
                    <w:tc>
                      <w:tcPr>
                        <w:tcW w:w="7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  <w:pict>
                            <v:rect id="_x0000_i1027" style="width:362.8pt;height:.75pt" o:hrpct="800" o:hralign="center" o:hrstd="t" o:hrnoshade="t" o:hr="t" fillcolor="black" stroked="f"/>
                          </w:pict>
                        </w:r>
                      </w:p>
                    </w:tc>
                  </w:tr>
                  <w:tr w:rsidR="00622F31" w:rsidRPr="00622F31">
                    <w:trPr>
                      <w:trHeight w:val="150"/>
                      <w:tblCellSpacing w:w="0" w:type="dxa"/>
                    </w:trPr>
                    <w:tc>
                      <w:tcPr>
                        <w:tcW w:w="35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spacing w:line="150" w:lineRule="atLeast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Net cash used by operating activities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7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spacing w:line="150" w:lineRule="atLeast"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(86,500)</w:t>
                        </w:r>
                      </w:p>
                    </w:tc>
                  </w:tr>
                  <w:tr w:rsidR="00622F31" w:rsidRPr="00622F31">
                    <w:trPr>
                      <w:trHeight w:val="150"/>
                      <w:tblCellSpacing w:w="0" w:type="dxa"/>
                    </w:trPr>
                    <w:tc>
                      <w:tcPr>
                        <w:tcW w:w="35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7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spacing w:line="150" w:lineRule="atLeast"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  <w:pict>
                            <v:rect id="_x0000_i1028" style="width:362.8pt;height:.75pt" o:hrpct="800" o:hralign="center" o:hrstd="t" o:hrnoshade="t" o:hr="t" fillcolor="black" stroked="f"/>
                          </w:pict>
                        </w:r>
                      </w:p>
                    </w:tc>
                  </w:tr>
                </w:tbl>
                <w:p w:rsidR="00622F31" w:rsidRPr="00622F31" w:rsidRDefault="00622F31" w:rsidP="00622F31">
                  <w:pPr>
                    <w:widowControl/>
                    <w:rPr>
                      <w:rFonts w:ascii="Arial" w:eastAsia="新細明體" w:hAnsi="Arial" w:cs="Arial"/>
                      <w:color w:val="333333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622F31" w:rsidRPr="00622F31" w:rsidRDefault="00622F31" w:rsidP="00622F31">
            <w:pPr>
              <w:widowControl/>
              <w:spacing w:before="100" w:beforeAutospacing="1" w:after="100" w:afterAutospacing="1"/>
              <w:outlineLvl w:val="1"/>
              <w:rPr>
                <w:rFonts w:ascii="Arial" w:eastAsia="新細明體" w:hAnsi="Arial" w:cs="Arial"/>
                <w:b/>
                <w:bCs/>
                <w:color w:val="0299E0"/>
                <w:kern w:val="0"/>
                <w:sz w:val="28"/>
                <w:szCs w:val="28"/>
              </w:rPr>
            </w:pPr>
            <w:r w:rsidRPr="00622F31">
              <w:rPr>
                <w:rFonts w:ascii="Arial" w:eastAsia="新細明體" w:hAnsi="Arial" w:cs="Arial"/>
                <w:b/>
                <w:bCs/>
                <w:color w:val="0299E0"/>
                <w:kern w:val="0"/>
                <w:sz w:val="28"/>
                <w:szCs w:val="28"/>
              </w:rPr>
              <w:lastRenderedPageBreak/>
              <w:t>Direct Method or Income Statement Method:</w:t>
            </w:r>
          </w:p>
          <w:p w:rsidR="00622F31" w:rsidRPr="00622F31" w:rsidRDefault="00622F31" w:rsidP="00622F31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622F31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Under the direct method the statement of cash flows reports net cash flow from operating activities as major classes of operating cash receipts (e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.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Pr="00622F31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g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.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Pr="00622F31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, cash collected from customers and cash received from interest and dividends) and cash disbursements (e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.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Pr="00622F31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g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.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Pr="00622F31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, cash paid to suppliers for goods, to employees for services, to creditors for interest, and to government authorities for taxes)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.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</w:p>
          <w:p w:rsidR="00622F31" w:rsidRPr="00622F31" w:rsidRDefault="00622F31" w:rsidP="00622F31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622F31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 xml:space="preserve">The direct method is explained on </w:t>
            </w:r>
            <w:hyperlink r:id="rId10" w:tgtFrame="_blank" w:history="1">
              <w:r w:rsidRPr="00622F31">
                <w:rPr>
                  <w:rFonts w:ascii="Arial" w:eastAsia="新細明體" w:hAnsi="Arial" w:cs="Arial"/>
                  <w:color w:val="0299E0"/>
                  <w:kern w:val="0"/>
                  <w:sz w:val="20"/>
                  <w:szCs w:val="20"/>
                </w:rPr>
                <w:t>cash flow statement direct method</w:t>
              </w:r>
            </w:hyperlink>
            <w:r w:rsidRPr="00622F31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 xml:space="preserve"> page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.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Pr="00622F31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 xml:space="preserve"> This method is illustrated here in more detail to help you understand the difference between accrual based income and net </w:t>
            </w:r>
            <w:r w:rsidRPr="00622F31">
              <w:rPr>
                <w:rFonts w:ascii="Arial" w:eastAsia="新細明體" w:hAnsi="Arial" w:cs="Arial"/>
                <w:i/>
                <w:iCs/>
                <w:color w:val="333333"/>
                <w:kern w:val="0"/>
                <w:sz w:val="20"/>
                <w:szCs w:val="20"/>
              </w:rPr>
              <w:t>cash flow from operating activities</w:t>
            </w:r>
            <w:r w:rsidRPr="00622F31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 xml:space="preserve"> and to illustrate the data needed to apply the direct method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.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</w:p>
          <w:p w:rsidR="00622F31" w:rsidRPr="00622F31" w:rsidRDefault="00622F31" w:rsidP="00622F31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622F31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Suppose a company which began business on January 1, 2005, has the following balance sheet information:</w:t>
            </w:r>
          </w:p>
          <w:tbl>
            <w:tblPr>
              <w:tblW w:w="395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56"/>
            </w:tblGrid>
            <w:tr w:rsidR="00622F31" w:rsidRPr="00622F3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72"/>
                    <w:gridCol w:w="1287"/>
                    <w:gridCol w:w="1287"/>
                  </w:tblGrid>
                  <w:tr w:rsidR="00622F31" w:rsidRPr="00622F31">
                    <w:trPr>
                      <w:trHeight w:val="300"/>
                      <w:tblCellSpacing w:w="0" w:type="dxa"/>
                    </w:trPr>
                    <w:tc>
                      <w:tcPr>
                        <w:tcW w:w="34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600" w:type="pct"/>
                        <w:gridSpan w:val="2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December 31</w:t>
                        </w:r>
                      </w:p>
                    </w:tc>
                  </w:tr>
                  <w:tr w:rsidR="00622F31" w:rsidRPr="00622F31">
                    <w:trPr>
                      <w:trHeight w:val="300"/>
                      <w:tblCellSpacing w:w="0" w:type="dxa"/>
                    </w:trPr>
                    <w:tc>
                      <w:tcPr>
                        <w:tcW w:w="34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8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2005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2004</w:t>
                        </w:r>
                      </w:p>
                    </w:tc>
                  </w:tr>
                  <w:tr w:rsidR="00622F31" w:rsidRPr="00622F31">
                    <w:trPr>
                      <w:trHeight w:val="300"/>
                      <w:tblCellSpacing w:w="0" w:type="dxa"/>
                    </w:trPr>
                    <w:tc>
                      <w:tcPr>
                        <w:tcW w:w="34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Cash</w:t>
                        </w:r>
                      </w:p>
                    </w:tc>
                    <w:tc>
                      <w:tcPr>
                        <w:tcW w:w="8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$159,000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</w:tr>
                  <w:tr w:rsidR="00622F31" w:rsidRPr="00622F31">
                    <w:trPr>
                      <w:trHeight w:val="300"/>
                      <w:tblCellSpacing w:w="0" w:type="dxa"/>
                    </w:trPr>
                    <w:tc>
                      <w:tcPr>
                        <w:tcW w:w="34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Accounts receivable</w:t>
                        </w:r>
                      </w:p>
                    </w:tc>
                    <w:tc>
                      <w:tcPr>
                        <w:tcW w:w="8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15,000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</w:tr>
                  <w:tr w:rsidR="00622F31" w:rsidRPr="00622F31">
                    <w:trPr>
                      <w:trHeight w:val="300"/>
                      <w:tblCellSpacing w:w="0" w:type="dxa"/>
                    </w:trPr>
                    <w:tc>
                      <w:tcPr>
                        <w:tcW w:w="34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Inventory</w:t>
                        </w:r>
                      </w:p>
                    </w:tc>
                    <w:tc>
                      <w:tcPr>
                        <w:tcW w:w="8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160,000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</w:tr>
                  <w:tr w:rsidR="00622F31" w:rsidRPr="00622F31">
                    <w:trPr>
                      <w:trHeight w:val="300"/>
                      <w:tblCellSpacing w:w="0" w:type="dxa"/>
                    </w:trPr>
                    <w:tc>
                      <w:tcPr>
                        <w:tcW w:w="34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Prepaid expenses</w:t>
                        </w:r>
                      </w:p>
                    </w:tc>
                    <w:tc>
                      <w:tcPr>
                        <w:tcW w:w="8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8,000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</w:tr>
                  <w:tr w:rsidR="00622F31" w:rsidRPr="00622F31">
                    <w:trPr>
                      <w:trHeight w:val="300"/>
                      <w:tblCellSpacing w:w="0" w:type="dxa"/>
                    </w:trPr>
                    <w:tc>
                      <w:tcPr>
                        <w:tcW w:w="34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Property, plant, and equipment (net)</w:t>
                        </w:r>
                      </w:p>
                    </w:tc>
                    <w:tc>
                      <w:tcPr>
                        <w:tcW w:w="8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90,000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</w:tr>
                  <w:tr w:rsidR="00622F31" w:rsidRPr="00622F31">
                    <w:trPr>
                      <w:trHeight w:val="300"/>
                      <w:tblCellSpacing w:w="0" w:type="dxa"/>
                    </w:trPr>
                    <w:tc>
                      <w:tcPr>
                        <w:tcW w:w="34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Accounts payable</w:t>
                        </w:r>
                      </w:p>
                    </w:tc>
                    <w:tc>
                      <w:tcPr>
                        <w:tcW w:w="8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60,000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</w:tr>
                  <w:tr w:rsidR="00622F31" w:rsidRPr="00622F31">
                    <w:trPr>
                      <w:trHeight w:val="300"/>
                      <w:tblCellSpacing w:w="0" w:type="dxa"/>
                    </w:trPr>
                    <w:tc>
                      <w:tcPr>
                        <w:tcW w:w="34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Accrued expenses payable</w:t>
                        </w:r>
                      </w:p>
                    </w:tc>
                    <w:tc>
                      <w:tcPr>
                        <w:tcW w:w="8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20,000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0</w:t>
                        </w:r>
                      </w:p>
                    </w:tc>
                  </w:tr>
                </w:tbl>
                <w:p w:rsidR="00622F31" w:rsidRPr="00622F31" w:rsidRDefault="00622F31" w:rsidP="00622F31">
                  <w:pPr>
                    <w:widowControl/>
                    <w:rPr>
                      <w:rFonts w:ascii="Arial" w:eastAsia="新細明體" w:hAnsi="Arial" w:cs="Arial"/>
                      <w:color w:val="333333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622F31" w:rsidRPr="00622F31" w:rsidRDefault="00622F31" w:rsidP="00622F31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622F31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Company's December 31, 2005, income statement and additional information are:</w:t>
            </w:r>
          </w:p>
          <w:tbl>
            <w:tblPr>
              <w:tblW w:w="4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360"/>
            </w:tblGrid>
            <w:tr w:rsidR="00622F31" w:rsidRPr="00622F3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248"/>
                    <w:gridCol w:w="1462"/>
                    <w:gridCol w:w="1440"/>
                  </w:tblGrid>
                  <w:tr w:rsidR="00622F31" w:rsidRPr="00622F31">
                    <w:trPr>
                      <w:trHeight w:val="300"/>
                      <w:tblCellSpacing w:w="0" w:type="dxa"/>
                    </w:trPr>
                    <w:tc>
                      <w:tcPr>
                        <w:tcW w:w="32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Revenues from sales</w:t>
                        </w:r>
                      </w:p>
                    </w:tc>
                    <w:tc>
                      <w:tcPr>
                        <w:tcW w:w="9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$780,000</w:t>
                        </w:r>
                      </w:p>
                    </w:tc>
                  </w:tr>
                  <w:tr w:rsidR="00622F31" w:rsidRPr="00622F31">
                    <w:trPr>
                      <w:trHeight w:val="300"/>
                      <w:tblCellSpacing w:w="0" w:type="dxa"/>
                    </w:trPr>
                    <w:tc>
                      <w:tcPr>
                        <w:tcW w:w="32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Cost of goods sold</w:t>
                        </w:r>
                      </w:p>
                    </w:tc>
                    <w:tc>
                      <w:tcPr>
                        <w:tcW w:w="9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450,000</w:t>
                        </w:r>
                      </w:p>
                    </w:tc>
                  </w:tr>
                  <w:tr w:rsidR="00622F31" w:rsidRPr="00622F31">
                    <w:trPr>
                      <w:trHeight w:val="300"/>
                      <w:tblCellSpacing w:w="0" w:type="dxa"/>
                    </w:trPr>
                    <w:tc>
                      <w:tcPr>
                        <w:tcW w:w="32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9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  <w:pict>
                            <v:rect id="_x0000_i1029" style="width:294.8pt;height:.75pt" o:hrpct="650" o:hralign="center" o:hrstd="t" o:hrnoshade="t" o:hr="t" fillcolor="black" stroked="f"/>
                          </w:pict>
                        </w:r>
                      </w:p>
                    </w:tc>
                  </w:tr>
                  <w:tr w:rsidR="00622F31" w:rsidRPr="00622F31">
                    <w:trPr>
                      <w:trHeight w:val="300"/>
                      <w:tblCellSpacing w:w="0" w:type="dxa"/>
                    </w:trPr>
                    <w:tc>
                      <w:tcPr>
                        <w:tcW w:w="32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Gross profit</w:t>
                        </w:r>
                      </w:p>
                    </w:tc>
                    <w:tc>
                      <w:tcPr>
                        <w:tcW w:w="9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330,000</w:t>
                        </w:r>
                      </w:p>
                    </w:tc>
                  </w:tr>
                  <w:tr w:rsidR="00622F31" w:rsidRPr="00622F31">
                    <w:trPr>
                      <w:trHeight w:val="300"/>
                      <w:tblCellSpacing w:w="0" w:type="dxa"/>
                    </w:trPr>
                    <w:tc>
                      <w:tcPr>
                        <w:tcW w:w="32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Operating expenses</w:t>
                        </w:r>
                      </w:p>
                    </w:tc>
                    <w:tc>
                      <w:tcPr>
                        <w:tcW w:w="9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$160,000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622F31" w:rsidRPr="00622F31">
                    <w:trPr>
                      <w:trHeight w:val="300"/>
                      <w:tblCellSpacing w:w="0" w:type="dxa"/>
                    </w:trPr>
                    <w:tc>
                      <w:tcPr>
                        <w:tcW w:w="32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Depreciation</w:t>
                        </w:r>
                      </w:p>
                    </w:tc>
                    <w:tc>
                      <w:tcPr>
                        <w:tcW w:w="9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10,000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170,000</w:t>
                        </w:r>
                      </w:p>
                    </w:tc>
                  </w:tr>
                  <w:tr w:rsidR="00622F31" w:rsidRPr="00622F31">
                    <w:trPr>
                      <w:trHeight w:val="300"/>
                      <w:tblCellSpacing w:w="0" w:type="dxa"/>
                    </w:trPr>
                    <w:tc>
                      <w:tcPr>
                        <w:tcW w:w="32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9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  <w:pict>
                            <v:rect id="_x0000_i1030" style="width:294.8pt;height:.75pt" o:hrpct="650" o:hralign="center" o:hrstd="t" o:hrnoshade="t" o:hr="t" fillcolor="black" stroked="f"/>
                          </w:pic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  <w:pict>
                            <v:rect id="_x0000_i1031" style="width:294.8pt;height:.75pt" o:hrpct="650" o:hralign="center" o:hrstd="t" o:hrnoshade="t" o:hr="t" fillcolor="black" stroked="f"/>
                          </w:pict>
                        </w:r>
                      </w:p>
                    </w:tc>
                  </w:tr>
                  <w:tr w:rsidR="00622F31" w:rsidRPr="00622F31">
                    <w:trPr>
                      <w:trHeight w:val="300"/>
                      <w:tblCellSpacing w:w="0" w:type="dxa"/>
                    </w:trPr>
                    <w:tc>
                      <w:tcPr>
                        <w:tcW w:w="32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Income before income taxes</w:t>
                        </w:r>
                      </w:p>
                    </w:tc>
                    <w:tc>
                      <w:tcPr>
                        <w:tcW w:w="9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160,000</w:t>
                        </w:r>
                      </w:p>
                    </w:tc>
                  </w:tr>
                  <w:tr w:rsidR="00622F31" w:rsidRPr="00622F31">
                    <w:trPr>
                      <w:trHeight w:val="300"/>
                      <w:tblCellSpacing w:w="0" w:type="dxa"/>
                    </w:trPr>
                    <w:tc>
                      <w:tcPr>
                        <w:tcW w:w="32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Income tax expenses</w:t>
                        </w:r>
                      </w:p>
                    </w:tc>
                    <w:tc>
                      <w:tcPr>
                        <w:tcW w:w="9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48,000</w:t>
                        </w:r>
                      </w:p>
                    </w:tc>
                  </w:tr>
                  <w:tr w:rsidR="00622F31" w:rsidRPr="00622F31">
                    <w:trPr>
                      <w:trHeight w:val="300"/>
                      <w:tblCellSpacing w:w="0" w:type="dxa"/>
                    </w:trPr>
                    <w:tc>
                      <w:tcPr>
                        <w:tcW w:w="32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9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  <w:pict>
                            <v:rect id="_x0000_i1032" style="width:294.8pt;height:.75pt" o:hrpct="650" o:hralign="center" o:hrstd="t" o:hrnoshade="t" o:hr="t" fillcolor="black" stroked="f"/>
                          </w:pict>
                        </w:r>
                      </w:p>
                    </w:tc>
                  </w:tr>
                  <w:tr w:rsidR="00622F31" w:rsidRPr="00622F31">
                    <w:trPr>
                      <w:trHeight w:val="300"/>
                      <w:tblCellSpacing w:w="0" w:type="dxa"/>
                    </w:trPr>
                    <w:tc>
                      <w:tcPr>
                        <w:tcW w:w="32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Net income</w:t>
                        </w:r>
                      </w:p>
                    </w:tc>
                    <w:tc>
                      <w:tcPr>
                        <w:tcW w:w="9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$112,000</w:t>
                        </w:r>
                      </w:p>
                    </w:tc>
                  </w:tr>
                  <w:tr w:rsidR="00622F31" w:rsidRPr="00622F31">
                    <w:trPr>
                      <w:trHeight w:val="300"/>
                      <w:tblCellSpacing w:w="0" w:type="dxa"/>
                    </w:trPr>
                    <w:tc>
                      <w:tcPr>
                        <w:tcW w:w="32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9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  <w:pict>
                            <v:rect id="_x0000_i1033" style="width:294.8pt;height:.75pt" o:hrpct="650" o:hralign="center" o:hrstd="t" o:hrnoshade="t" o:hr="t" fillcolor="black" stroked="f"/>
                          </w:pict>
                        </w:r>
                      </w:p>
                    </w:tc>
                  </w:tr>
                </w:tbl>
                <w:p w:rsidR="00622F31" w:rsidRPr="00622F31" w:rsidRDefault="00622F31" w:rsidP="00622F31">
                  <w:pPr>
                    <w:widowControl/>
                    <w:spacing w:before="100" w:beforeAutospacing="1" w:after="100" w:afterAutospacing="1"/>
                    <w:rPr>
                      <w:rFonts w:ascii="Arial" w:eastAsia="新細明體" w:hAnsi="Arial" w:cs="Arial"/>
                      <w:color w:val="333333"/>
                      <w:kern w:val="0"/>
                      <w:sz w:val="20"/>
                      <w:szCs w:val="20"/>
                    </w:rPr>
                  </w:pPr>
                  <w:r w:rsidRPr="00622F31">
                    <w:rPr>
                      <w:rFonts w:ascii="Arial" w:eastAsia="新細明體" w:hAnsi="Arial" w:cs="Arial"/>
                      <w:b/>
                      <w:bCs/>
                      <w:color w:val="333333"/>
                      <w:kern w:val="0"/>
                      <w:sz w:val="15"/>
                      <w:szCs w:val="15"/>
                      <w:u w:val="single"/>
                    </w:rPr>
                    <w:t>Additional Information</w:t>
                  </w:r>
                  <w:proofErr w:type="gramStart"/>
                  <w:r w:rsidRPr="00622F31">
                    <w:rPr>
                      <w:rFonts w:ascii="Arial" w:eastAsia="新細明體" w:hAnsi="Arial" w:cs="Arial"/>
                      <w:b/>
                      <w:bCs/>
                      <w:color w:val="333333"/>
                      <w:kern w:val="0"/>
                      <w:sz w:val="15"/>
                      <w:szCs w:val="15"/>
                      <w:u w:val="single"/>
                    </w:rPr>
                    <w:t>:</w:t>
                  </w:r>
                  <w:proofErr w:type="gramEnd"/>
                  <w:r w:rsidRPr="00622F31">
                    <w:rPr>
                      <w:rFonts w:ascii="Arial" w:eastAsia="新細明體" w:hAnsi="Arial" w:cs="Arial"/>
                      <w:b/>
                      <w:bCs/>
                      <w:color w:val="333333"/>
                      <w:kern w:val="0"/>
                      <w:sz w:val="15"/>
                      <w:szCs w:val="15"/>
                    </w:rPr>
                    <w:br/>
                  </w:r>
                  <w:r w:rsidRPr="00622F31">
                    <w:rPr>
                      <w:rFonts w:ascii="Arial" w:eastAsia="新細明體" w:hAnsi="Arial" w:cs="Arial"/>
                      <w:color w:val="333333"/>
                      <w:kern w:val="0"/>
                      <w:sz w:val="15"/>
                      <w:szCs w:val="15"/>
                    </w:rPr>
                    <w:t>(a)</w:t>
                  </w:r>
                  <w:r w:rsidR="00DA4EAF">
                    <w:rPr>
                      <w:rFonts w:ascii="Arial" w:eastAsia="新細明體" w:hAnsi="Arial" w:cs="Arial"/>
                      <w:color w:val="333333"/>
                      <w:kern w:val="0"/>
                      <w:sz w:val="15"/>
                      <w:szCs w:val="15"/>
                    </w:rPr>
                    <w:t>.</w:t>
                  </w:r>
                  <w:r w:rsidR="00DA4EAF">
                    <w:rPr>
                      <w:rFonts w:ascii="Arial" w:eastAsia="新細明體" w:hAnsi="Arial" w:cs="Arial"/>
                      <w:color w:val="333333"/>
                      <w:kern w:val="0"/>
                      <w:sz w:val="15"/>
                      <w:szCs w:val="15"/>
                    </w:rPr>
                    <w:br/>
                  </w:r>
                  <w:r w:rsidR="00DA4EAF">
                    <w:rPr>
                      <w:rFonts w:ascii="Arial" w:eastAsia="新細明體" w:hAnsi="Arial" w:cs="Arial"/>
                      <w:color w:val="333333"/>
                      <w:kern w:val="0"/>
                      <w:sz w:val="15"/>
                      <w:szCs w:val="15"/>
                    </w:rPr>
                    <w:br/>
                  </w:r>
                  <w:r w:rsidR="00DA4EAF">
                    <w:rPr>
                      <w:rFonts w:ascii="Arial" w:eastAsia="新細明體" w:hAnsi="Arial" w:cs="Arial"/>
                      <w:color w:val="333333"/>
                      <w:kern w:val="0"/>
                      <w:sz w:val="15"/>
                      <w:szCs w:val="15"/>
                    </w:rPr>
                    <w:lastRenderedPageBreak/>
                    <w:br/>
                  </w:r>
                  <w:r w:rsidRPr="00622F31">
                    <w:rPr>
                      <w:rFonts w:ascii="Arial" w:eastAsia="新細明體" w:hAnsi="Arial" w:cs="Arial"/>
                      <w:color w:val="333333"/>
                      <w:kern w:val="0"/>
                      <w:sz w:val="15"/>
                      <w:szCs w:val="15"/>
                    </w:rPr>
                    <w:t xml:space="preserve"> Dividends of $70,000 were declared and paid in cash</w:t>
                  </w:r>
                  <w:r w:rsidR="00DA4EAF">
                    <w:rPr>
                      <w:rFonts w:ascii="Arial" w:eastAsia="新細明體" w:hAnsi="Arial" w:cs="Arial"/>
                      <w:color w:val="333333"/>
                      <w:kern w:val="0"/>
                      <w:sz w:val="15"/>
                      <w:szCs w:val="15"/>
                    </w:rPr>
                    <w:t>.</w:t>
                  </w:r>
                  <w:r w:rsidR="00DA4EAF">
                    <w:rPr>
                      <w:rFonts w:ascii="Arial" w:eastAsia="新細明體" w:hAnsi="Arial" w:cs="Arial"/>
                      <w:color w:val="333333"/>
                      <w:kern w:val="0"/>
                      <w:sz w:val="15"/>
                      <w:szCs w:val="15"/>
                    </w:rPr>
                    <w:br/>
                  </w:r>
                  <w:r w:rsidR="00DA4EAF">
                    <w:rPr>
                      <w:rFonts w:ascii="Arial" w:eastAsia="新細明體" w:hAnsi="Arial" w:cs="Arial"/>
                      <w:color w:val="333333"/>
                      <w:kern w:val="0"/>
                      <w:sz w:val="15"/>
                      <w:szCs w:val="15"/>
                    </w:rPr>
                    <w:br/>
                  </w:r>
                  <w:r w:rsidR="00DA4EAF">
                    <w:rPr>
                      <w:rFonts w:ascii="Arial" w:eastAsia="新細明體" w:hAnsi="Arial" w:cs="Arial"/>
                      <w:color w:val="333333"/>
                      <w:kern w:val="0"/>
                      <w:sz w:val="15"/>
                      <w:szCs w:val="15"/>
                    </w:rPr>
                    <w:br/>
                  </w:r>
                  <w:r w:rsidRPr="00622F31">
                    <w:rPr>
                      <w:rFonts w:ascii="Arial" w:eastAsia="新細明體" w:hAnsi="Arial" w:cs="Arial"/>
                      <w:color w:val="333333"/>
                      <w:kern w:val="0"/>
                      <w:sz w:val="15"/>
                      <w:szCs w:val="15"/>
                    </w:rPr>
                    <w:br/>
                    <w:t>(b)</w:t>
                  </w:r>
                  <w:r w:rsidR="00DA4EAF">
                    <w:rPr>
                      <w:rFonts w:ascii="Arial" w:eastAsia="新細明體" w:hAnsi="Arial" w:cs="Arial"/>
                      <w:color w:val="333333"/>
                      <w:kern w:val="0"/>
                      <w:sz w:val="15"/>
                      <w:szCs w:val="15"/>
                    </w:rPr>
                    <w:t>.</w:t>
                  </w:r>
                  <w:r w:rsidR="00DA4EAF">
                    <w:rPr>
                      <w:rFonts w:ascii="Arial" w:eastAsia="新細明體" w:hAnsi="Arial" w:cs="Arial"/>
                      <w:color w:val="333333"/>
                      <w:kern w:val="0"/>
                      <w:sz w:val="15"/>
                      <w:szCs w:val="15"/>
                    </w:rPr>
                    <w:br/>
                  </w:r>
                  <w:r w:rsidR="00DA4EAF">
                    <w:rPr>
                      <w:rFonts w:ascii="Arial" w:eastAsia="新細明體" w:hAnsi="Arial" w:cs="Arial"/>
                      <w:color w:val="333333"/>
                      <w:kern w:val="0"/>
                      <w:sz w:val="15"/>
                      <w:szCs w:val="15"/>
                    </w:rPr>
                    <w:br/>
                  </w:r>
                  <w:r w:rsidR="00DA4EAF">
                    <w:rPr>
                      <w:rFonts w:ascii="Arial" w:eastAsia="新細明體" w:hAnsi="Arial" w:cs="Arial"/>
                      <w:color w:val="333333"/>
                      <w:kern w:val="0"/>
                      <w:sz w:val="15"/>
                      <w:szCs w:val="15"/>
                    </w:rPr>
                    <w:br/>
                  </w:r>
                  <w:r w:rsidRPr="00622F31">
                    <w:rPr>
                      <w:rFonts w:ascii="Arial" w:eastAsia="新細明體" w:hAnsi="Arial" w:cs="Arial"/>
                      <w:color w:val="333333"/>
                      <w:kern w:val="0"/>
                      <w:sz w:val="15"/>
                      <w:szCs w:val="15"/>
                    </w:rPr>
                    <w:t xml:space="preserve"> The accounts payable increase resulted from the purchases of merchandise</w:t>
                  </w:r>
                  <w:r w:rsidR="00DA4EAF">
                    <w:rPr>
                      <w:rFonts w:ascii="Arial" w:eastAsia="新細明體" w:hAnsi="Arial" w:cs="Arial"/>
                      <w:color w:val="333333"/>
                      <w:kern w:val="0"/>
                      <w:sz w:val="15"/>
                      <w:szCs w:val="15"/>
                    </w:rPr>
                    <w:t>.</w:t>
                  </w:r>
                  <w:r w:rsidR="00DA4EAF">
                    <w:rPr>
                      <w:rFonts w:ascii="Arial" w:eastAsia="新細明體" w:hAnsi="Arial" w:cs="Arial"/>
                      <w:color w:val="333333"/>
                      <w:kern w:val="0"/>
                      <w:sz w:val="15"/>
                      <w:szCs w:val="15"/>
                    </w:rPr>
                    <w:br/>
                  </w:r>
                  <w:r w:rsidR="00DA4EAF">
                    <w:rPr>
                      <w:rFonts w:ascii="Arial" w:eastAsia="新細明體" w:hAnsi="Arial" w:cs="Arial"/>
                      <w:color w:val="333333"/>
                      <w:kern w:val="0"/>
                      <w:sz w:val="15"/>
                      <w:szCs w:val="15"/>
                    </w:rPr>
                    <w:br/>
                  </w:r>
                  <w:r w:rsidR="00DA4EAF">
                    <w:rPr>
                      <w:rFonts w:ascii="Arial" w:eastAsia="新細明體" w:hAnsi="Arial" w:cs="Arial"/>
                      <w:color w:val="333333"/>
                      <w:kern w:val="0"/>
                      <w:sz w:val="15"/>
                      <w:szCs w:val="15"/>
                    </w:rPr>
                    <w:br/>
                  </w:r>
                  <w:r w:rsidRPr="00622F31">
                    <w:rPr>
                      <w:rFonts w:ascii="Arial" w:eastAsia="新細明體" w:hAnsi="Arial" w:cs="Arial"/>
                      <w:color w:val="333333"/>
                      <w:kern w:val="0"/>
                      <w:sz w:val="15"/>
                      <w:szCs w:val="15"/>
                    </w:rPr>
                    <w:br/>
                    <w:t>(c)</w:t>
                  </w:r>
                  <w:r w:rsidR="00DA4EAF">
                    <w:rPr>
                      <w:rFonts w:ascii="Arial" w:eastAsia="新細明體" w:hAnsi="Arial" w:cs="Arial"/>
                      <w:color w:val="333333"/>
                      <w:kern w:val="0"/>
                      <w:sz w:val="15"/>
                      <w:szCs w:val="15"/>
                    </w:rPr>
                    <w:t>.</w:t>
                  </w:r>
                  <w:r w:rsidR="00DA4EAF">
                    <w:rPr>
                      <w:rFonts w:ascii="Arial" w:eastAsia="新細明體" w:hAnsi="Arial" w:cs="Arial"/>
                      <w:color w:val="333333"/>
                      <w:kern w:val="0"/>
                      <w:sz w:val="15"/>
                      <w:szCs w:val="15"/>
                    </w:rPr>
                    <w:br/>
                  </w:r>
                  <w:r w:rsidR="00DA4EAF">
                    <w:rPr>
                      <w:rFonts w:ascii="Arial" w:eastAsia="新細明體" w:hAnsi="Arial" w:cs="Arial"/>
                      <w:color w:val="333333"/>
                      <w:kern w:val="0"/>
                      <w:sz w:val="15"/>
                      <w:szCs w:val="15"/>
                    </w:rPr>
                    <w:br/>
                  </w:r>
                  <w:r w:rsidR="00DA4EAF">
                    <w:rPr>
                      <w:rFonts w:ascii="Arial" w:eastAsia="新細明體" w:hAnsi="Arial" w:cs="Arial"/>
                      <w:color w:val="333333"/>
                      <w:kern w:val="0"/>
                      <w:sz w:val="15"/>
                      <w:szCs w:val="15"/>
                    </w:rPr>
                    <w:br/>
                  </w:r>
                  <w:r w:rsidRPr="00622F31">
                    <w:rPr>
                      <w:rFonts w:ascii="Arial" w:eastAsia="新細明體" w:hAnsi="Arial" w:cs="Arial"/>
                      <w:color w:val="333333"/>
                      <w:kern w:val="0"/>
                      <w:sz w:val="15"/>
                      <w:szCs w:val="15"/>
                    </w:rPr>
                    <w:t xml:space="preserve"> Prepaid expenses and accrued expenses payable relate to operating   expenses</w:t>
                  </w:r>
                  <w:r w:rsidR="00DA4EAF">
                    <w:rPr>
                      <w:rFonts w:ascii="Arial" w:eastAsia="新細明體" w:hAnsi="Arial" w:cs="Arial"/>
                      <w:color w:val="333333"/>
                      <w:kern w:val="0"/>
                      <w:sz w:val="15"/>
                      <w:szCs w:val="15"/>
                    </w:rPr>
                    <w:t>.</w:t>
                  </w:r>
                  <w:r w:rsidR="00DA4EAF">
                    <w:rPr>
                      <w:rFonts w:ascii="Arial" w:eastAsia="新細明體" w:hAnsi="Arial" w:cs="Arial"/>
                      <w:color w:val="333333"/>
                      <w:kern w:val="0"/>
                      <w:sz w:val="15"/>
                      <w:szCs w:val="15"/>
                    </w:rPr>
                    <w:br/>
                  </w:r>
                  <w:r w:rsidR="00DA4EAF">
                    <w:rPr>
                      <w:rFonts w:ascii="Arial" w:eastAsia="新細明體" w:hAnsi="Arial" w:cs="Arial"/>
                      <w:color w:val="333333"/>
                      <w:kern w:val="0"/>
                      <w:sz w:val="15"/>
                      <w:szCs w:val="15"/>
                    </w:rPr>
                    <w:br/>
                  </w:r>
                  <w:r w:rsidR="00DA4EAF">
                    <w:rPr>
                      <w:rFonts w:ascii="Arial" w:eastAsia="新細明體" w:hAnsi="Arial" w:cs="Arial"/>
                      <w:color w:val="333333"/>
                      <w:kern w:val="0"/>
                      <w:sz w:val="15"/>
                      <w:szCs w:val="15"/>
                    </w:rPr>
                    <w:br/>
                  </w:r>
                </w:p>
              </w:tc>
            </w:tr>
          </w:tbl>
          <w:p w:rsidR="00622F31" w:rsidRPr="00622F31" w:rsidRDefault="00622F31" w:rsidP="00622F31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622F31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lastRenderedPageBreak/>
              <w:t>Under the direct method, net cash provided by operating activities is computed by adjusting each in the income statement from the accrual basis to the cash basis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.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Pr="00622F31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 xml:space="preserve"> To simplify and condense the operating activities section, only major classes of operating cash receipts and cash payments are reported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.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Pr="00622F31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 xml:space="preserve"> The difference between these major classes of cash receipts and cash payments is the net cash provided by operating activities as show below:</w:t>
            </w:r>
          </w:p>
          <w:p w:rsidR="00622F31" w:rsidRPr="00622F31" w:rsidRDefault="00622F31" w:rsidP="00622F31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622F31">
              <w:rPr>
                <w:rFonts w:ascii="Arial" w:eastAsia="新細明體" w:hAnsi="Arial" w:cs="Arial"/>
                <w:b/>
                <w:bCs/>
                <w:color w:val="FF6600"/>
                <w:kern w:val="0"/>
                <w:sz w:val="20"/>
                <w:szCs w:val="20"/>
              </w:rPr>
              <w:t>Net Cash Provided by Operating Activities</w:t>
            </w:r>
          </w:p>
          <w:p w:rsidR="00622F31" w:rsidRPr="00622F31" w:rsidRDefault="00622F31" w:rsidP="00622F31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>
              <w:rPr>
                <w:rFonts w:ascii="Arial" w:eastAsia="新細明體" w:hAnsi="Arial" w:cs="Arial"/>
                <w:noProof/>
                <w:color w:val="333333"/>
                <w:kern w:val="0"/>
                <w:sz w:val="20"/>
                <w:szCs w:val="20"/>
              </w:rPr>
              <w:lastRenderedPageBreak/>
              <w:drawing>
                <wp:inline distT="0" distB="0" distL="0" distR="0" wp14:anchorId="5851C308" wp14:editId="53B3F414">
                  <wp:extent cx="4991100" cy="2581275"/>
                  <wp:effectExtent l="0" t="0" r="0" b="9525"/>
                  <wp:docPr id="1" name="圖片 1" descr="direct_versus_indirect_method_of_cash_flow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irect_versus_indirect_method_of_cash_flow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1100" cy="258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2F31" w:rsidRPr="00622F31" w:rsidRDefault="00622F31" w:rsidP="00622F31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622F31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An efficient way to apply the direct method is to analyze the revenues and expenses reported in the income statement in the order in which they are listed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.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Pr="00622F31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 xml:space="preserve"> Cash receipts and cash payments related to these revenues and expenses should then be determined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.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Pr="00622F31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 xml:space="preserve"> The direct method adjustments for the company in 2005 to determine net cash provided by operating activities are presented in the following sections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.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</w:p>
          <w:p w:rsidR="00622F31" w:rsidRPr="00622F31" w:rsidRDefault="00622F31" w:rsidP="00622F31">
            <w:pPr>
              <w:widowControl/>
              <w:spacing w:before="100" w:beforeAutospacing="1" w:after="100" w:afterAutospacing="1"/>
              <w:outlineLvl w:val="2"/>
              <w:rPr>
                <w:rFonts w:ascii="Arial" w:eastAsia="新細明體" w:hAnsi="Arial" w:cs="Arial"/>
                <w:b/>
                <w:bCs/>
                <w:color w:val="FF6600"/>
                <w:kern w:val="0"/>
                <w:szCs w:val="24"/>
              </w:rPr>
            </w:pPr>
            <w:r w:rsidRPr="00622F31">
              <w:rPr>
                <w:rFonts w:ascii="Arial" w:eastAsia="新細明體" w:hAnsi="Arial" w:cs="Arial"/>
                <w:b/>
                <w:bCs/>
                <w:color w:val="FF6600"/>
                <w:kern w:val="0"/>
                <w:szCs w:val="24"/>
              </w:rPr>
              <w:t>Cash Receipts from Customers:</w:t>
            </w:r>
          </w:p>
          <w:p w:rsidR="00622F31" w:rsidRPr="00622F31" w:rsidRDefault="00622F31" w:rsidP="00622F31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622F31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The income statement of the company reported revenues from customers of $780,000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.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Pr="00622F31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 xml:space="preserve"> To determine cash receipts from customers, it is necessary to consider the change in accounts receivables during the year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.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Pr="00622F31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 xml:space="preserve"> When accounts receivable increase during the year,</w:t>
            </w:r>
            <w:proofErr w:type="gramStart"/>
            <w:r w:rsidRPr="00622F31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  revenues</w:t>
            </w:r>
            <w:proofErr w:type="gramEnd"/>
            <w:r w:rsidRPr="00622F31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 xml:space="preserve"> on an accrual basis are higher than cash receipts from customers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.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Pr="00622F31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 xml:space="preserve"> In other words, operations led to increased revenues but not all of these revenues resulted in cash receipts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.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lastRenderedPageBreak/>
              <w:br/>
            </w:r>
            <w:r w:rsidRPr="00622F31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 xml:space="preserve"> To determine the amount of increase in cash receipts, deduct the amount of the increase in accounts receivable from the total sales revenue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.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Pr="00622F31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 xml:space="preserve"> Conversely, a decrease in accounts receivable is added to sales revenues, because cash receipts from customers then exceed sales revenue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.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Pr="00622F31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 xml:space="preserve"> In our example, accounts receivable increased by $15,000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.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Pr="00622F31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 xml:space="preserve"> Thus, cash receipts from customers were $765,000, computed as follows:</w:t>
            </w:r>
          </w:p>
          <w:tbl>
            <w:tblPr>
              <w:tblW w:w="33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97"/>
            </w:tblGrid>
            <w:tr w:rsidR="00622F31" w:rsidRPr="00622F3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247"/>
                    <w:gridCol w:w="1440"/>
                  </w:tblGrid>
                  <w:tr w:rsidR="00622F31" w:rsidRPr="00622F31">
                    <w:trPr>
                      <w:trHeight w:val="300"/>
                      <w:tblCellSpacing w:w="0" w:type="dxa"/>
                    </w:trPr>
                    <w:tc>
                      <w:tcPr>
                        <w:tcW w:w="32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Revenues from sales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$780,000</w:t>
                        </w:r>
                      </w:p>
                    </w:tc>
                  </w:tr>
                  <w:tr w:rsidR="00622F31" w:rsidRPr="00622F31">
                    <w:trPr>
                      <w:trHeight w:val="300"/>
                      <w:tblCellSpacing w:w="0" w:type="dxa"/>
                    </w:trPr>
                    <w:tc>
                      <w:tcPr>
                        <w:tcW w:w="32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Deduct: Increase in accounts receivable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15,000</w:t>
                        </w:r>
                      </w:p>
                    </w:tc>
                  </w:tr>
                  <w:tr w:rsidR="00622F31" w:rsidRPr="00622F31">
                    <w:trPr>
                      <w:trHeight w:val="150"/>
                      <w:tblCellSpacing w:w="0" w:type="dxa"/>
                    </w:trPr>
                    <w:tc>
                      <w:tcPr>
                        <w:tcW w:w="32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spacing w:line="150" w:lineRule="atLeast"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  <w:pict>
                            <v:rect id="_x0000_i1034" style="width:294.8pt;height:.75pt" o:hrpct="650" o:hralign="center" o:hrstd="t" o:hrnoshade="t" o:hr="t" fillcolor="black" stroked="f"/>
                          </w:pict>
                        </w:r>
                      </w:p>
                    </w:tc>
                  </w:tr>
                  <w:tr w:rsidR="00622F31" w:rsidRPr="00622F31">
                    <w:trPr>
                      <w:trHeight w:val="75"/>
                      <w:tblCellSpacing w:w="0" w:type="dxa"/>
                    </w:trPr>
                    <w:tc>
                      <w:tcPr>
                        <w:tcW w:w="32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spacing w:line="75" w:lineRule="atLeast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Cash receipts from customers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spacing w:line="75" w:lineRule="atLeast"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$765,000</w:t>
                        </w:r>
                      </w:p>
                    </w:tc>
                  </w:tr>
                  <w:tr w:rsidR="00622F31" w:rsidRPr="00622F31">
                    <w:trPr>
                      <w:trHeight w:val="75"/>
                      <w:tblCellSpacing w:w="0" w:type="dxa"/>
                    </w:trPr>
                    <w:tc>
                      <w:tcPr>
                        <w:tcW w:w="32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8"/>
                            <w:szCs w:val="20"/>
                          </w:rPr>
                        </w:pP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spacing w:line="75" w:lineRule="atLeast"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  <w:pict>
                            <v:rect id="_x0000_i1035" style="width:294.8pt;height:.75pt" o:hrpct="650" o:hralign="center" o:hrstd="t" o:hrnoshade="t" o:hr="t" fillcolor="black" stroked="f"/>
                          </w:pict>
                        </w:r>
                      </w:p>
                    </w:tc>
                  </w:tr>
                </w:tbl>
                <w:p w:rsidR="00622F31" w:rsidRPr="00622F31" w:rsidRDefault="00622F31" w:rsidP="00622F31">
                  <w:pPr>
                    <w:widowControl/>
                    <w:rPr>
                      <w:rFonts w:ascii="Arial" w:eastAsia="新細明體" w:hAnsi="Arial" w:cs="Arial"/>
                      <w:color w:val="333333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622F31" w:rsidRPr="00622F31" w:rsidRDefault="00622F31" w:rsidP="00622F31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622F31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Cash receipts from customers may also be determined from an analysis of the accounts receivable account as shown below:</w:t>
            </w:r>
          </w:p>
          <w:p w:rsidR="00622F31" w:rsidRPr="00622F31" w:rsidRDefault="00622F31" w:rsidP="00622F31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622F31">
              <w:rPr>
                <w:rFonts w:ascii="Arial" w:eastAsia="新細明體" w:hAnsi="Arial" w:cs="Arial"/>
                <w:b/>
                <w:bCs/>
                <w:color w:val="333333"/>
                <w:kern w:val="0"/>
                <w:sz w:val="20"/>
                <w:szCs w:val="20"/>
              </w:rPr>
              <w:t>Accounts Receivable</w:t>
            </w:r>
          </w:p>
          <w:tbl>
            <w:tblPr>
              <w:tblW w:w="44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10"/>
              <w:gridCol w:w="5100"/>
            </w:tblGrid>
            <w:tr w:rsidR="00622F31" w:rsidRPr="00622F31">
              <w:trPr>
                <w:tblCellSpacing w:w="0" w:type="dxa"/>
                <w:jc w:val="center"/>
              </w:trPr>
              <w:tc>
                <w:tcPr>
                  <w:tcW w:w="4110" w:type="dxa"/>
                  <w:tcBorders>
                    <w:top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:rsidR="00622F31" w:rsidRPr="00622F31" w:rsidRDefault="00622F31" w:rsidP="00622F31">
                  <w:pPr>
                    <w:widowControl/>
                    <w:rPr>
                      <w:rFonts w:ascii="Arial" w:eastAsia="新細明體" w:hAnsi="Arial" w:cs="Arial"/>
                      <w:color w:val="333333"/>
                      <w:kern w:val="0"/>
                      <w:sz w:val="20"/>
                      <w:szCs w:val="20"/>
                    </w:rPr>
                  </w:pPr>
                  <w:r w:rsidRPr="00622F31">
                    <w:rPr>
                      <w:rFonts w:ascii="Arial" w:eastAsia="新細明體" w:hAnsi="Arial" w:cs="Arial"/>
                      <w:color w:val="333333"/>
                      <w:kern w:val="0"/>
                      <w:sz w:val="20"/>
                      <w:szCs w:val="20"/>
                    </w:rPr>
                    <w:t>1/1/05       Balance                            -0-</w:t>
                  </w:r>
                  <w:r w:rsidRPr="00622F31">
                    <w:rPr>
                      <w:rFonts w:ascii="Arial" w:eastAsia="新細明體" w:hAnsi="Arial" w:cs="Arial"/>
                      <w:color w:val="333333"/>
                      <w:kern w:val="0"/>
                      <w:sz w:val="20"/>
                      <w:szCs w:val="20"/>
                    </w:rPr>
                    <w:br/>
                    <w:t>                Revenue from sales       780,000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:rsidR="00622F31" w:rsidRPr="00622F31" w:rsidRDefault="00622F31" w:rsidP="00622F31">
                  <w:pPr>
                    <w:widowControl/>
                    <w:rPr>
                      <w:rFonts w:ascii="Arial" w:eastAsia="新細明體" w:hAnsi="Arial" w:cs="Arial"/>
                      <w:color w:val="333333"/>
                      <w:kern w:val="0"/>
                      <w:sz w:val="20"/>
                      <w:szCs w:val="20"/>
                    </w:rPr>
                  </w:pPr>
                  <w:r w:rsidRPr="00622F31">
                    <w:rPr>
                      <w:rFonts w:ascii="Arial" w:eastAsia="新細明體" w:hAnsi="Arial" w:cs="Arial"/>
                      <w:color w:val="333333"/>
                      <w:kern w:val="0"/>
                      <w:sz w:val="20"/>
                      <w:szCs w:val="20"/>
                    </w:rPr>
                    <w:t> Receipts from customers                765,000</w:t>
                  </w:r>
                </w:p>
              </w:tc>
            </w:tr>
            <w:tr w:rsidR="00622F31" w:rsidRPr="00622F31">
              <w:trPr>
                <w:tblCellSpacing w:w="0" w:type="dxa"/>
                <w:jc w:val="center"/>
              </w:trPr>
              <w:tc>
                <w:tcPr>
                  <w:tcW w:w="4110" w:type="dxa"/>
                  <w:tcBorders>
                    <w:top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:rsidR="00622F31" w:rsidRPr="00622F31" w:rsidRDefault="00622F31" w:rsidP="00622F31">
                  <w:pPr>
                    <w:widowControl/>
                    <w:rPr>
                      <w:rFonts w:ascii="Arial" w:eastAsia="新細明體" w:hAnsi="Arial" w:cs="Arial"/>
                      <w:color w:val="333333"/>
                      <w:kern w:val="0"/>
                      <w:sz w:val="20"/>
                      <w:szCs w:val="20"/>
                    </w:rPr>
                  </w:pPr>
                  <w:r w:rsidRPr="00622F31">
                    <w:rPr>
                      <w:rFonts w:ascii="Arial" w:eastAsia="新細明體" w:hAnsi="Arial" w:cs="Arial"/>
                      <w:color w:val="333333"/>
                      <w:kern w:val="0"/>
                      <w:sz w:val="20"/>
                      <w:szCs w:val="20"/>
                    </w:rPr>
                    <w:t>12/31/05    Balance                          15,000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:rsidR="00622F31" w:rsidRPr="00622F31" w:rsidRDefault="00622F31" w:rsidP="00622F31">
                  <w:pPr>
                    <w:widowControl/>
                    <w:rPr>
                      <w:rFonts w:ascii="Arial" w:eastAsia="新細明體" w:hAnsi="Arial" w:cs="Arial"/>
                      <w:color w:val="333333"/>
                      <w:kern w:val="0"/>
                      <w:sz w:val="20"/>
                      <w:szCs w:val="20"/>
                    </w:rPr>
                  </w:pPr>
                  <w:r w:rsidRPr="00622F31">
                    <w:rPr>
                      <w:rFonts w:ascii="Arial" w:eastAsia="新細明體" w:hAnsi="Arial" w:cs="Arial"/>
                      <w:color w:val="333333"/>
                      <w:kern w:val="0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622F31" w:rsidRPr="00622F31" w:rsidRDefault="00622F31" w:rsidP="00622F31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622F31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The relationship between cash receipts from customers, revenues from sales, and changes in accounts receivable are shown below:</w:t>
            </w:r>
          </w:p>
          <w:p w:rsidR="00622F31" w:rsidRPr="00622F31" w:rsidRDefault="00622F31" w:rsidP="00622F31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622F31">
              <w:rPr>
                <w:rFonts w:ascii="Arial" w:eastAsia="新細明體" w:hAnsi="Arial" w:cs="Arial"/>
                <w:b/>
                <w:bCs/>
                <w:color w:val="FF6600"/>
                <w:kern w:val="0"/>
                <w:sz w:val="20"/>
                <w:szCs w:val="20"/>
              </w:rPr>
              <w:t>Formula to compute cash receipt from customers</w:t>
            </w:r>
          </w:p>
          <w:tbl>
            <w:tblPr>
              <w:tblW w:w="385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047"/>
            </w:tblGrid>
            <w:tr w:rsidR="00622F31" w:rsidRPr="00622F3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15"/>
                    <w:gridCol w:w="240"/>
                    <w:gridCol w:w="1605"/>
                    <w:gridCol w:w="330"/>
                    <w:gridCol w:w="3847"/>
                  </w:tblGrid>
                  <w:tr w:rsidR="00622F31" w:rsidRPr="00622F31">
                    <w:trPr>
                      <w:tblCellSpacing w:w="0" w:type="dxa"/>
                    </w:trPr>
                    <w:tc>
                      <w:tcPr>
                        <w:tcW w:w="1815" w:type="dxa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Cash receipts from customers</w:t>
                        </w:r>
                      </w:p>
                    </w:tc>
                    <w:tc>
                      <w:tcPr>
                        <w:tcW w:w="240" w:type="dxa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=</w:t>
                        </w:r>
                      </w:p>
                    </w:tc>
                    <w:tc>
                      <w:tcPr>
                        <w:tcW w:w="1605" w:type="dxa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Revenues from sales</w:t>
                        </w:r>
                      </w:p>
                    </w:tc>
                    <w:tc>
                      <w:tcPr>
                        <w:tcW w:w="330" w:type="dxa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48"/>
                            <w:szCs w:val="48"/>
                          </w:rPr>
                          <w:t>{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+ Decrease in accounts receivable</w:t>
                        </w: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br/>
                          <w:t>or</w:t>
                        </w: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br/>
                          <w:t>- Increase in accounts receivable</w:t>
                        </w:r>
                      </w:p>
                    </w:tc>
                  </w:tr>
                </w:tbl>
                <w:p w:rsidR="00622F31" w:rsidRPr="00622F31" w:rsidRDefault="00622F31" w:rsidP="00622F31">
                  <w:pPr>
                    <w:widowControl/>
                    <w:rPr>
                      <w:rFonts w:ascii="Arial" w:eastAsia="新細明體" w:hAnsi="Arial" w:cs="Arial"/>
                      <w:color w:val="333333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622F31" w:rsidRPr="00622F31" w:rsidRDefault="00622F31" w:rsidP="00622F31">
            <w:pPr>
              <w:widowControl/>
              <w:spacing w:before="100" w:beforeAutospacing="1" w:after="100" w:afterAutospacing="1"/>
              <w:outlineLvl w:val="2"/>
              <w:rPr>
                <w:rFonts w:ascii="Arial" w:eastAsia="新細明體" w:hAnsi="Arial" w:cs="Arial"/>
                <w:b/>
                <w:bCs/>
                <w:color w:val="FF6600"/>
                <w:kern w:val="0"/>
                <w:szCs w:val="24"/>
              </w:rPr>
            </w:pPr>
            <w:r w:rsidRPr="00622F31">
              <w:rPr>
                <w:rFonts w:ascii="Arial" w:eastAsia="新細明體" w:hAnsi="Arial" w:cs="Arial"/>
                <w:b/>
                <w:bCs/>
                <w:color w:val="FF6600"/>
                <w:kern w:val="0"/>
                <w:szCs w:val="24"/>
              </w:rPr>
              <w:t>Cash Payments to Suppliers:</w:t>
            </w:r>
          </w:p>
          <w:p w:rsidR="00622F31" w:rsidRPr="00622F31" w:rsidRDefault="00622F31" w:rsidP="00622F31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622F31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 xml:space="preserve">In our example, company reported </w:t>
            </w:r>
            <w:hyperlink r:id="rId12" w:tgtFrame="_blank" w:history="1">
              <w:r w:rsidRPr="00622F31">
                <w:rPr>
                  <w:rFonts w:ascii="Arial" w:eastAsia="新細明體" w:hAnsi="Arial" w:cs="Arial"/>
                  <w:color w:val="0299E0"/>
                  <w:kern w:val="0"/>
                  <w:sz w:val="20"/>
                  <w:szCs w:val="20"/>
                </w:rPr>
                <w:t>cost of goods sold</w:t>
              </w:r>
            </w:hyperlink>
            <w:r w:rsidRPr="00622F31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 xml:space="preserve"> on its </w:t>
            </w:r>
            <w:hyperlink r:id="rId13" w:tgtFrame="_blank" w:history="1">
              <w:r w:rsidRPr="00622F31">
                <w:rPr>
                  <w:rFonts w:ascii="Arial" w:eastAsia="新細明體" w:hAnsi="Arial" w:cs="Arial"/>
                  <w:color w:val="0299E0"/>
                  <w:kern w:val="0"/>
                  <w:sz w:val="20"/>
                  <w:szCs w:val="20"/>
                </w:rPr>
                <w:t>income statement</w:t>
              </w:r>
            </w:hyperlink>
            <w:r w:rsidRPr="00622F31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 xml:space="preserve"> of $450,000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.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lastRenderedPageBreak/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Pr="00622F31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 xml:space="preserve"> To determine cash payment to suppliers, it is first necessary to fine for the year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.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Pr="00622F31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 xml:space="preserve"> To find purchases, cost of goods sold is adjusted for the change in inventory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.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Pr="00622F31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 xml:space="preserve"> When inventory increases during the year, it means that purchases this year exceed cost of goods sold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.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Pr="00622F31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 xml:space="preserve"> As a result, the increase in inventory is added to cost of goods sold to arrive at purchases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.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</w:p>
          <w:p w:rsidR="00622F31" w:rsidRPr="00622F31" w:rsidRDefault="00622F31" w:rsidP="00622F31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622F31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In 2005 the company's inventory increased $160,000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.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Pr="00622F31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 xml:space="preserve"> Purchases, therefore, are computed as follows:</w:t>
            </w:r>
          </w:p>
          <w:tbl>
            <w:tblPr>
              <w:tblW w:w="33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97"/>
            </w:tblGrid>
            <w:tr w:rsidR="00622F31" w:rsidRPr="00622F3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247"/>
                    <w:gridCol w:w="1440"/>
                  </w:tblGrid>
                  <w:tr w:rsidR="00622F31" w:rsidRPr="00622F31">
                    <w:trPr>
                      <w:trHeight w:val="300"/>
                      <w:tblCellSpacing w:w="0" w:type="dxa"/>
                    </w:trPr>
                    <w:tc>
                      <w:tcPr>
                        <w:tcW w:w="32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Cost of goods sold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$450,000</w:t>
                        </w:r>
                      </w:p>
                    </w:tc>
                  </w:tr>
                  <w:tr w:rsidR="00622F31" w:rsidRPr="00622F31">
                    <w:trPr>
                      <w:trHeight w:val="300"/>
                      <w:tblCellSpacing w:w="0" w:type="dxa"/>
                    </w:trPr>
                    <w:tc>
                      <w:tcPr>
                        <w:tcW w:w="32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Add: Increase in inventory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160,000</w:t>
                        </w:r>
                      </w:p>
                    </w:tc>
                  </w:tr>
                  <w:tr w:rsidR="00622F31" w:rsidRPr="00622F31">
                    <w:trPr>
                      <w:trHeight w:val="150"/>
                      <w:tblCellSpacing w:w="0" w:type="dxa"/>
                    </w:trPr>
                    <w:tc>
                      <w:tcPr>
                        <w:tcW w:w="32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spacing w:line="150" w:lineRule="atLeast"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  <w:pict>
                            <v:rect id="_x0000_i1036" style="width:294.8pt;height:.75pt" o:hrpct="650" o:hralign="center" o:hrstd="t" o:hrnoshade="t" o:hr="t" fillcolor="black" stroked="f"/>
                          </w:pict>
                        </w:r>
                      </w:p>
                    </w:tc>
                  </w:tr>
                  <w:tr w:rsidR="00622F31" w:rsidRPr="00622F31">
                    <w:trPr>
                      <w:trHeight w:val="75"/>
                      <w:tblCellSpacing w:w="0" w:type="dxa"/>
                    </w:trPr>
                    <w:tc>
                      <w:tcPr>
                        <w:tcW w:w="32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spacing w:line="75" w:lineRule="atLeast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Purchases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spacing w:line="75" w:lineRule="atLeast"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$610,000</w:t>
                        </w:r>
                      </w:p>
                    </w:tc>
                  </w:tr>
                  <w:tr w:rsidR="00622F31" w:rsidRPr="00622F31">
                    <w:trPr>
                      <w:trHeight w:val="75"/>
                      <w:tblCellSpacing w:w="0" w:type="dxa"/>
                    </w:trPr>
                    <w:tc>
                      <w:tcPr>
                        <w:tcW w:w="32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8"/>
                            <w:szCs w:val="20"/>
                          </w:rPr>
                        </w:pP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spacing w:line="75" w:lineRule="atLeast"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  <w:pict>
                            <v:rect id="_x0000_i1037" style="width:294.8pt;height:.75pt" o:hrpct="650" o:hralign="center" o:hrstd="t" o:hrnoshade="t" o:hr="t" fillcolor="black" stroked="f"/>
                          </w:pict>
                        </w:r>
                      </w:p>
                    </w:tc>
                  </w:tr>
                </w:tbl>
                <w:p w:rsidR="00622F31" w:rsidRPr="00622F31" w:rsidRDefault="00622F31" w:rsidP="00622F31">
                  <w:pPr>
                    <w:widowControl/>
                    <w:rPr>
                      <w:rFonts w:ascii="Arial" w:eastAsia="新細明體" w:hAnsi="Arial" w:cs="Arial"/>
                      <w:color w:val="333333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622F31" w:rsidRPr="00622F31" w:rsidRDefault="00622F31" w:rsidP="00622F31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622F31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After purchases are computed, cash payments to suppliers are determined by adjusting purchases for the change in accounts payable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.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Pr="00622F31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 xml:space="preserve"> When accounts payable increase during the year, purchases on an accrual basis are higher than they are on a cash basis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.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Pr="00622F31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 xml:space="preserve"> As a result, an increase in accounts payable is deducted from purchases to arrive at cash payments to suppliers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.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Pr="00622F31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 xml:space="preserve"> Conversely, a decrease in accounts payable is added to purchases because cash payments </w:t>
            </w:r>
            <w:proofErr w:type="spellStart"/>
            <w:r w:rsidRPr="00622F31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o</w:t>
            </w:r>
            <w:proofErr w:type="spellEnd"/>
            <w:r w:rsidRPr="00622F31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 xml:space="preserve"> suppliers exceed purchases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.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lastRenderedPageBreak/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Pr="00622F31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 xml:space="preserve"> Cash payment to suppliers are $550,000 computed as follows:</w:t>
            </w:r>
          </w:p>
          <w:tbl>
            <w:tblPr>
              <w:tblW w:w="33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97"/>
            </w:tblGrid>
            <w:tr w:rsidR="00622F31" w:rsidRPr="00622F3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247"/>
                    <w:gridCol w:w="1440"/>
                  </w:tblGrid>
                  <w:tr w:rsidR="00622F31" w:rsidRPr="00622F31">
                    <w:trPr>
                      <w:trHeight w:val="300"/>
                      <w:tblCellSpacing w:w="0" w:type="dxa"/>
                    </w:trPr>
                    <w:tc>
                      <w:tcPr>
                        <w:tcW w:w="32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Purchases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$610,000</w:t>
                        </w:r>
                      </w:p>
                    </w:tc>
                  </w:tr>
                  <w:tr w:rsidR="00622F31" w:rsidRPr="00622F31">
                    <w:trPr>
                      <w:trHeight w:val="300"/>
                      <w:tblCellSpacing w:w="0" w:type="dxa"/>
                    </w:trPr>
                    <w:tc>
                      <w:tcPr>
                        <w:tcW w:w="32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Deduct: Increase in accounts payable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60,000</w:t>
                        </w:r>
                      </w:p>
                    </w:tc>
                  </w:tr>
                  <w:tr w:rsidR="00622F31" w:rsidRPr="00622F31">
                    <w:trPr>
                      <w:trHeight w:val="150"/>
                      <w:tblCellSpacing w:w="0" w:type="dxa"/>
                    </w:trPr>
                    <w:tc>
                      <w:tcPr>
                        <w:tcW w:w="32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spacing w:line="150" w:lineRule="atLeast"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  <w:pict>
                            <v:rect id="_x0000_i1038" style="width:294.8pt;height:.75pt" o:hrpct="650" o:hralign="center" o:hrstd="t" o:hrnoshade="t" o:hr="t" fillcolor="black" stroked="f"/>
                          </w:pict>
                        </w:r>
                      </w:p>
                    </w:tc>
                  </w:tr>
                  <w:tr w:rsidR="00622F31" w:rsidRPr="00622F31">
                    <w:trPr>
                      <w:trHeight w:val="75"/>
                      <w:tblCellSpacing w:w="0" w:type="dxa"/>
                    </w:trPr>
                    <w:tc>
                      <w:tcPr>
                        <w:tcW w:w="32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spacing w:line="75" w:lineRule="atLeast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Cash payments to suppliers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spacing w:line="75" w:lineRule="atLeast"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$550,000</w:t>
                        </w:r>
                      </w:p>
                    </w:tc>
                  </w:tr>
                  <w:tr w:rsidR="00622F31" w:rsidRPr="00622F31">
                    <w:trPr>
                      <w:trHeight w:val="75"/>
                      <w:tblCellSpacing w:w="0" w:type="dxa"/>
                    </w:trPr>
                    <w:tc>
                      <w:tcPr>
                        <w:tcW w:w="32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8"/>
                            <w:szCs w:val="20"/>
                          </w:rPr>
                        </w:pP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spacing w:line="75" w:lineRule="atLeast"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  <w:pict>
                            <v:rect id="_x0000_i1039" style="width:294.8pt;height:.75pt" o:hrpct="650" o:hralign="center" o:hrstd="t" o:hrnoshade="t" o:hr="t" fillcolor="black" stroked="f"/>
                          </w:pict>
                        </w:r>
                      </w:p>
                    </w:tc>
                  </w:tr>
                </w:tbl>
                <w:p w:rsidR="00622F31" w:rsidRPr="00622F31" w:rsidRDefault="00622F31" w:rsidP="00622F31">
                  <w:pPr>
                    <w:widowControl/>
                    <w:rPr>
                      <w:rFonts w:ascii="Arial" w:eastAsia="新細明體" w:hAnsi="Arial" w:cs="Arial"/>
                      <w:color w:val="333333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622F31" w:rsidRPr="00622F31" w:rsidRDefault="00622F31" w:rsidP="00622F31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622F31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Cash payments to suppliers may also be determined from an analysis of the accounts payable account as shown below:</w:t>
            </w:r>
          </w:p>
          <w:p w:rsidR="00622F31" w:rsidRPr="00622F31" w:rsidRDefault="00622F31" w:rsidP="00622F31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622F31">
              <w:rPr>
                <w:rFonts w:ascii="Arial" w:eastAsia="新細明體" w:hAnsi="Arial" w:cs="Arial"/>
                <w:b/>
                <w:bCs/>
                <w:color w:val="333333"/>
                <w:kern w:val="0"/>
                <w:sz w:val="20"/>
                <w:szCs w:val="20"/>
              </w:rPr>
              <w:t>Accounts Payable</w:t>
            </w:r>
          </w:p>
          <w:tbl>
            <w:tblPr>
              <w:tblW w:w="44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10"/>
              <w:gridCol w:w="5100"/>
            </w:tblGrid>
            <w:tr w:rsidR="00622F31" w:rsidRPr="00622F31">
              <w:trPr>
                <w:tblCellSpacing w:w="0" w:type="dxa"/>
                <w:jc w:val="center"/>
              </w:trPr>
              <w:tc>
                <w:tcPr>
                  <w:tcW w:w="4110" w:type="dxa"/>
                  <w:tcBorders>
                    <w:top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:rsidR="00622F31" w:rsidRPr="00622F31" w:rsidRDefault="00622F31" w:rsidP="00622F31">
                  <w:pPr>
                    <w:widowControl/>
                    <w:rPr>
                      <w:rFonts w:ascii="Arial" w:eastAsia="新細明體" w:hAnsi="Arial" w:cs="Arial"/>
                      <w:color w:val="333333"/>
                      <w:kern w:val="0"/>
                      <w:sz w:val="20"/>
                      <w:szCs w:val="20"/>
                    </w:rPr>
                  </w:pPr>
                  <w:r w:rsidRPr="00622F31">
                    <w:rPr>
                      <w:rFonts w:ascii="Arial" w:eastAsia="新細明體" w:hAnsi="Arial" w:cs="Arial"/>
                      <w:color w:val="333333"/>
                      <w:kern w:val="0"/>
                      <w:sz w:val="20"/>
                      <w:szCs w:val="20"/>
                    </w:rPr>
                    <w:t>    Revenue from sales                       550,000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:rsidR="00622F31" w:rsidRPr="00622F31" w:rsidRDefault="00622F31" w:rsidP="00622F31">
                  <w:pPr>
                    <w:widowControl/>
                    <w:rPr>
                      <w:rFonts w:ascii="Arial" w:eastAsia="新細明體" w:hAnsi="Arial" w:cs="Arial"/>
                      <w:color w:val="333333"/>
                      <w:kern w:val="0"/>
                      <w:sz w:val="20"/>
                      <w:szCs w:val="20"/>
                    </w:rPr>
                  </w:pPr>
                  <w:r w:rsidRPr="00622F31">
                    <w:rPr>
                      <w:rFonts w:ascii="Arial" w:eastAsia="新細明體" w:hAnsi="Arial" w:cs="Arial"/>
                      <w:color w:val="333333"/>
                      <w:kern w:val="0"/>
                      <w:sz w:val="20"/>
                      <w:szCs w:val="20"/>
                    </w:rPr>
                    <w:t>1/1/05     Balance                            -0-</w:t>
                  </w:r>
                  <w:r w:rsidRPr="00622F31">
                    <w:rPr>
                      <w:rFonts w:ascii="Arial" w:eastAsia="新細明體" w:hAnsi="Arial" w:cs="Arial"/>
                      <w:color w:val="333333"/>
                      <w:kern w:val="0"/>
                      <w:sz w:val="20"/>
                      <w:szCs w:val="20"/>
                    </w:rPr>
                    <w:br/>
                    <w:t>              Revenue from sales       610,000</w:t>
                  </w:r>
                </w:p>
              </w:tc>
            </w:tr>
            <w:tr w:rsidR="00622F31" w:rsidRPr="00622F31">
              <w:trPr>
                <w:tblCellSpacing w:w="0" w:type="dxa"/>
                <w:jc w:val="center"/>
              </w:trPr>
              <w:tc>
                <w:tcPr>
                  <w:tcW w:w="4110" w:type="dxa"/>
                  <w:tcBorders>
                    <w:top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:rsidR="00622F31" w:rsidRPr="00622F31" w:rsidRDefault="00622F31" w:rsidP="00622F31">
                  <w:pPr>
                    <w:widowControl/>
                    <w:rPr>
                      <w:rFonts w:ascii="Arial" w:eastAsia="新細明體" w:hAnsi="Arial" w:cs="Arial"/>
                      <w:color w:val="333333"/>
                      <w:kern w:val="0"/>
                      <w:sz w:val="20"/>
                      <w:szCs w:val="20"/>
                    </w:rPr>
                  </w:pPr>
                  <w:r w:rsidRPr="00622F31">
                    <w:rPr>
                      <w:rFonts w:ascii="Arial" w:eastAsia="新細明體" w:hAnsi="Arial" w:cs="Arial"/>
                      <w:color w:val="333333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:rsidR="00622F31" w:rsidRPr="00622F31" w:rsidRDefault="00622F31" w:rsidP="00622F31">
                  <w:pPr>
                    <w:widowControl/>
                    <w:rPr>
                      <w:rFonts w:ascii="Arial" w:eastAsia="新細明體" w:hAnsi="Arial" w:cs="Arial"/>
                      <w:color w:val="333333"/>
                      <w:kern w:val="0"/>
                      <w:sz w:val="20"/>
                      <w:szCs w:val="20"/>
                    </w:rPr>
                  </w:pPr>
                  <w:r w:rsidRPr="00622F31">
                    <w:rPr>
                      <w:rFonts w:ascii="Arial" w:eastAsia="新細明體" w:hAnsi="Arial" w:cs="Arial"/>
                      <w:color w:val="333333"/>
                      <w:kern w:val="0"/>
                      <w:sz w:val="20"/>
                      <w:szCs w:val="20"/>
                    </w:rPr>
                    <w:t>12/31/05    Balance                          60,000</w:t>
                  </w:r>
                </w:p>
              </w:tc>
            </w:tr>
          </w:tbl>
          <w:p w:rsidR="00622F31" w:rsidRPr="00622F31" w:rsidRDefault="00622F31" w:rsidP="00622F31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622F31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The relationships between cash payments to customers, cost of goods sold, changes in inventory, and changes in accounts payable are shown below:</w:t>
            </w:r>
          </w:p>
          <w:p w:rsidR="00622F31" w:rsidRPr="00622F31" w:rsidRDefault="00622F31" w:rsidP="00622F31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622F31">
              <w:rPr>
                <w:rFonts w:ascii="Arial" w:eastAsia="新細明體" w:hAnsi="Arial" w:cs="Arial"/>
                <w:b/>
                <w:bCs/>
                <w:color w:val="FF6600"/>
                <w:kern w:val="0"/>
                <w:sz w:val="20"/>
                <w:szCs w:val="20"/>
              </w:rPr>
              <w:t>Formula to compute cash payments to suppliers</w:t>
            </w:r>
          </w:p>
          <w:tbl>
            <w:tblPr>
              <w:tblW w:w="475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28"/>
            </w:tblGrid>
            <w:tr w:rsidR="00622F31" w:rsidRPr="00622F3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45"/>
                    <w:gridCol w:w="165"/>
                    <w:gridCol w:w="1665"/>
                    <w:gridCol w:w="300"/>
                    <w:gridCol w:w="2205"/>
                    <w:gridCol w:w="300"/>
                    <w:gridCol w:w="3538"/>
                  </w:tblGrid>
                  <w:tr w:rsidR="00622F31" w:rsidRPr="00622F31">
                    <w:trPr>
                      <w:tblCellSpacing w:w="0" w:type="dxa"/>
                    </w:trPr>
                    <w:tc>
                      <w:tcPr>
                        <w:tcW w:w="1545" w:type="dxa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Cash payments to suppliers</w:t>
                        </w: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=</w:t>
                        </w:r>
                      </w:p>
                    </w:tc>
                    <w:tc>
                      <w:tcPr>
                        <w:tcW w:w="1665" w:type="dxa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Cost of goods sold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48"/>
                            <w:szCs w:val="48"/>
                          </w:rPr>
                          <w:t>{</w:t>
                        </w:r>
                      </w:p>
                    </w:tc>
                    <w:tc>
                      <w:tcPr>
                        <w:tcW w:w="2205" w:type="dxa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+ Increase in inventory</w:t>
                        </w: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br/>
                          <w:t>or</w:t>
                        </w: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br/>
                          <w:t>- Decrease in inventory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48"/>
                            <w:szCs w:val="48"/>
                          </w:rPr>
                          <w:t>{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+ Decrease in accounts payable</w:t>
                        </w: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br/>
                          <w:t>or</w:t>
                        </w: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br/>
                          <w:t>- Increase in accounts payable</w:t>
                        </w:r>
                      </w:p>
                    </w:tc>
                  </w:tr>
                </w:tbl>
                <w:p w:rsidR="00622F31" w:rsidRPr="00622F31" w:rsidRDefault="00622F31" w:rsidP="00622F31">
                  <w:pPr>
                    <w:widowControl/>
                    <w:rPr>
                      <w:rFonts w:ascii="Arial" w:eastAsia="新細明體" w:hAnsi="Arial" w:cs="Arial"/>
                      <w:color w:val="333333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622F31" w:rsidRPr="00622F31" w:rsidRDefault="00622F31" w:rsidP="00622F31">
            <w:pPr>
              <w:widowControl/>
              <w:spacing w:before="100" w:beforeAutospacing="1" w:after="100" w:afterAutospacing="1"/>
              <w:outlineLvl w:val="2"/>
              <w:rPr>
                <w:rFonts w:ascii="Arial" w:eastAsia="新細明體" w:hAnsi="Arial" w:cs="Arial"/>
                <w:b/>
                <w:bCs/>
                <w:color w:val="FF6600"/>
                <w:kern w:val="0"/>
                <w:szCs w:val="24"/>
              </w:rPr>
            </w:pPr>
            <w:r w:rsidRPr="00622F31">
              <w:rPr>
                <w:rFonts w:ascii="Arial" w:eastAsia="新細明體" w:hAnsi="Arial" w:cs="Arial"/>
                <w:b/>
                <w:bCs/>
                <w:color w:val="FF6600"/>
                <w:kern w:val="0"/>
                <w:szCs w:val="24"/>
              </w:rPr>
              <w:t>Cash Payments for Operating Expenses:</w:t>
            </w:r>
          </w:p>
          <w:p w:rsidR="00622F31" w:rsidRPr="00622F31" w:rsidRDefault="00622F31" w:rsidP="00622F31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622F31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In our example, the operating expenses of $160,000 are reported on the income statement of the company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.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Pr="00622F31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 xml:space="preserve"> To determine the cash paid for operating expenses, this amount must be adjusted for any changes in prepaid expenses and accrued expenses payable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.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Pr="00622F31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 xml:space="preserve"> For example, when prepaid expenses increased $8,000 during the year, cash paid for operating expenses was $8,000 higher than operating expenses reported on the income statement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.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Pr="00622F31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lastRenderedPageBreak/>
              <w:t xml:space="preserve"> To convert operating expenses to cash payments for operating expenses, the increase of $8,000 must be added to operating expenses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.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Pr="00622F31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 xml:space="preserve"> Conversely if prepaid expenses decrease during the year, the decrease must be deducted from operating expenses</w:t>
            </w:r>
          </w:p>
          <w:p w:rsidR="00622F31" w:rsidRPr="00622F31" w:rsidRDefault="00622F31" w:rsidP="00622F31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622F31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Operating expenses must also be adjusted for changes in accrued expenses payable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.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Pr="00622F31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 xml:space="preserve"> When accrued expenses payable increase during the year, operating expenses on an accrual basis are higher than they are on a cash basis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.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Pr="00622F31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 xml:space="preserve"> As a result, an increase in accrued expenses payable is deducted from operating expenses to arrive at cash payments for operating expenses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.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Pr="00622F31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 xml:space="preserve"> Conversely, a decrease in accrued expenses payable is added to operating expenses because cash payments exceed operating expenses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.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Pr="00622F31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 xml:space="preserve"> The cash payments for operating expense of the company in our example is $148,000 computed as below:</w:t>
            </w:r>
          </w:p>
          <w:tbl>
            <w:tblPr>
              <w:tblW w:w="33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97"/>
            </w:tblGrid>
            <w:tr w:rsidR="00622F31" w:rsidRPr="00622F3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247"/>
                    <w:gridCol w:w="1440"/>
                  </w:tblGrid>
                  <w:tr w:rsidR="00622F31" w:rsidRPr="00622F31">
                    <w:trPr>
                      <w:trHeight w:val="300"/>
                      <w:tblCellSpacing w:w="0" w:type="dxa"/>
                    </w:trPr>
                    <w:tc>
                      <w:tcPr>
                        <w:tcW w:w="32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Operating expenses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$160,000</w:t>
                        </w:r>
                      </w:p>
                    </w:tc>
                  </w:tr>
                  <w:tr w:rsidR="00622F31" w:rsidRPr="00622F31">
                    <w:trPr>
                      <w:trHeight w:val="150"/>
                      <w:tblCellSpacing w:w="0" w:type="dxa"/>
                    </w:trPr>
                    <w:tc>
                      <w:tcPr>
                        <w:tcW w:w="32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spacing w:line="150" w:lineRule="atLeast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Add: Increase in prepaid expenses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spacing w:line="150" w:lineRule="atLeast"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8,000</w:t>
                        </w:r>
                      </w:p>
                    </w:tc>
                  </w:tr>
                  <w:tr w:rsidR="00622F31" w:rsidRPr="00622F31">
                    <w:trPr>
                      <w:trHeight w:val="150"/>
                      <w:tblCellSpacing w:w="0" w:type="dxa"/>
                    </w:trPr>
                    <w:tc>
                      <w:tcPr>
                        <w:tcW w:w="32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spacing w:line="150" w:lineRule="atLeast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Deduct: Increase in accrued expenses payable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spacing w:line="150" w:lineRule="atLeast"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(20,000)</w:t>
                        </w:r>
                      </w:p>
                    </w:tc>
                  </w:tr>
                  <w:tr w:rsidR="00622F31" w:rsidRPr="00622F31">
                    <w:trPr>
                      <w:trHeight w:val="150"/>
                      <w:tblCellSpacing w:w="0" w:type="dxa"/>
                    </w:trPr>
                    <w:tc>
                      <w:tcPr>
                        <w:tcW w:w="32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spacing w:line="150" w:lineRule="atLeast"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  <w:pict>
                            <v:rect id="_x0000_i1040" style="width:294.8pt;height:.75pt" o:hrpct="650" o:hralign="center" o:hrstd="t" o:hrnoshade="t" o:hr="t" fillcolor="black" stroked="f"/>
                          </w:pict>
                        </w:r>
                      </w:p>
                    </w:tc>
                  </w:tr>
                  <w:tr w:rsidR="00622F31" w:rsidRPr="00622F31">
                    <w:trPr>
                      <w:trHeight w:val="75"/>
                      <w:tblCellSpacing w:w="0" w:type="dxa"/>
                    </w:trPr>
                    <w:tc>
                      <w:tcPr>
                        <w:tcW w:w="32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spacing w:line="75" w:lineRule="atLeast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Cash payments to suppliers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spacing w:line="75" w:lineRule="atLeast"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$148,000</w:t>
                        </w:r>
                      </w:p>
                    </w:tc>
                  </w:tr>
                  <w:tr w:rsidR="00622F31" w:rsidRPr="00622F31">
                    <w:trPr>
                      <w:trHeight w:val="75"/>
                      <w:tblCellSpacing w:w="0" w:type="dxa"/>
                    </w:trPr>
                    <w:tc>
                      <w:tcPr>
                        <w:tcW w:w="32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8"/>
                            <w:szCs w:val="20"/>
                          </w:rPr>
                        </w:pP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spacing w:line="75" w:lineRule="atLeast"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  <w:pict>
                            <v:rect id="_x0000_i1041" style="width:294.8pt;height:.75pt" o:hrpct="650" o:hralign="center" o:hrstd="t" o:hrnoshade="t" o:hr="t" fillcolor="black" stroked="f"/>
                          </w:pict>
                        </w:r>
                      </w:p>
                    </w:tc>
                  </w:tr>
                </w:tbl>
                <w:p w:rsidR="00622F31" w:rsidRPr="00622F31" w:rsidRDefault="00622F31" w:rsidP="00622F31">
                  <w:pPr>
                    <w:widowControl/>
                    <w:rPr>
                      <w:rFonts w:ascii="Arial" w:eastAsia="新細明體" w:hAnsi="Arial" w:cs="Arial"/>
                      <w:color w:val="333333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622F31" w:rsidRPr="00622F31" w:rsidRDefault="00622F31" w:rsidP="00622F31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622F31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The relationships among cash payments for operating expenses, changes in prepaid expenses, and changes in accrued expenses payable are shown below:</w:t>
            </w:r>
          </w:p>
          <w:p w:rsidR="00622F31" w:rsidRPr="00622F31" w:rsidRDefault="00622F31" w:rsidP="00622F31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622F31">
              <w:rPr>
                <w:rFonts w:ascii="Arial" w:eastAsia="新細明體" w:hAnsi="Arial" w:cs="Arial"/>
                <w:b/>
                <w:bCs/>
                <w:color w:val="FF6600"/>
                <w:kern w:val="0"/>
                <w:sz w:val="20"/>
                <w:szCs w:val="20"/>
              </w:rPr>
              <w:t>Formula to compute cash payments for operating expenses</w:t>
            </w:r>
          </w:p>
          <w:tbl>
            <w:tblPr>
              <w:tblW w:w="485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37"/>
            </w:tblGrid>
            <w:tr w:rsidR="00622F31" w:rsidRPr="00622F3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45"/>
                    <w:gridCol w:w="165"/>
                    <w:gridCol w:w="1185"/>
                    <w:gridCol w:w="300"/>
                    <w:gridCol w:w="2580"/>
                    <w:gridCol w:w="300"/>
                    <w:gridCol w:w="3852"/>
                  </w:tblGrid>
                  <w:tr w:rsidR="00622F31" w:rsidRPr="00622F31">
                    <w:trPr>
                      <w:tblCellSpacing w:w="0" w:type="dxa"/>
                    </w:trPr>
                    <w:tc>
                      <w:tcPr>
                        <w:tcW w:w="1545" w:type="dxa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Cash payments for operating expenses</w:t>
                        </w: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=</w:t>
                        </w:r>
                      </w:p>
                    </w:tc>
                    <w:tc>
                      <w:tcPr>
                        <w:tcW w:w="1185" w:type="dxa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Operating expenses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48"/>
                            <w:szCs w:val="48"/>
                          </w:rPr>
                          <w:t>{</w:t>
                        </w:r>
                      </w:p>
                    </w:tc>
                    <w:tc>
                      <w:tcPr>
                        <w:tcW w:w="2580" w:type="dxa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+ Increase in prepaid exp</w:t>
                        </w:r>
                        <w:r w:rsidR="00DA4EAF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.</w:t>
                        </w:r>
                        <w:r w:rsidR="00DA4EAF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br/>
                        </w:r>
                        <w:r w:rsidR="00DA4EAF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br/>
                        </w:r>
                        <w:r w:rsidR="00DA4EAF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br/>
                        </w: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br/>
                        </w:r>
                        <w:proofErr w:type="gramStart"/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or</w:t>
                        </w:r>
                        <w:proofErr w:type="gramEnd"/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br/>
                        </w: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lastRenderedPageBreak/>
                          <w:t>- Decrease in prepaid exp</w:t>
                        </w:r>
                        <w:r w:rsidR="00DA4EAF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.</w:t>
                        </w:r>
                        <w:r w:rsidR="00DA4EAF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br/>
                        </w:r>
                        <w:r w:rsidR="00DA4EAF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br/>
                        </w:r>
                        <w:r w:rsidR="00DA4EAF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br/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48"/>
                            <w:szCs w:val="48"/>
                          </w:rPr>
                          <w:lastRenderedPageBreak/>
                          <w:t>{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+ Decrease in accrued exp</w:t>
                        </w:r>
                        <w:r w:rsidR="00DA4EAF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.</w:t>
                        </w:r>
                        <w:r w:rsidR="00DA4EAF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br/>
                        </w:r>
                        <w:r w:rsidR="00DA4EAF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br/>
                        </w:r>
                        <w:r w:rsidR="00DA4EAF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br/>
                        </w: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 xml:space="preserve"> </w:t>
                        </w:r>
                        <w:proofErr w:type="gramStart"/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payable</w:t>
                        </w:r>
                        <w:proofErr w:type="gramEnd"/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br/>
                          <w:t>or</w:t>
                        </w: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br/>
                        </w: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lastRenderedPageBreak/>
                          <w:t>- Increase in accrued exp</w:t>
                        </w:r>
                        <w:r w:rsidR="00DA4EAF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.</w:t>
                        </w:r>
                        <w:r w:rsidR="00DA4EAF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br/>
                        </w:r>
                        <w:r w:rsidR="00DA4EAF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br/>
                        </w:r>
                        <w:r w:rsidR="00DA4EAF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br/>
                        </w: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 xml:space="preserve"> payable</w:t>
                        </w:r>
                      </w:p>
                    </w:tc>
                  </w:tr>
                </w:tbl>
                <w:p w:rsidR="00622F31" w:rsidRPr="00622F31" w:rsidRDefault="00622F31" w:rsidP="00622F31">
                  <w:pPr>
                    <w:widowControl/>
                    <w:rPr>
                      <w:rFonts w:ascii="Arial" w:eastAsia="新細明體" w:hAnsi="Arial" w:cs="Arial"/>
                      <w:color w:val="333333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622F31" w:rsidRPr="00622F31" w:rsidRDefault="00622F31" w:rsidP="00622F31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622F31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lastRenderedPageBreak/>
              <w:t>Depreciation expense has not been considered, because depreciation is a non-cash expense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.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</w:p>
          <w:p w:rsidR="00622F31" w:rsidRPr="00622F31" w:rsidRDefault="00622F31" w:rsidP="00622F31">
            <w:pPr>
              <w:widowControl/>
              <w:spacing w:before="100" w:beforeAutospacing="1" w:after="100" w:afterAutospacing="1"/>
              <w:outlineLvl w:val="2"/>
              <w:rPr>
                <w:rFonts w:ascii="Arial" w:eastAsia="新細明體" w:hAnsi="Arial" w:cs="Arial"/>
                <w:b/>
                <w:bCs/>
                <w:color w:val="FF6600"/>
                <w:kern w:val="0"/>
                <w:szCs w:val="24"/>
              </w:rPr>
            </w:pPr>
            <w:r w:rsidRPr="00622F31">
              <w:rPr>
                <w:rFonts w:ascii="Arial" w:eastAsia="新細明體" w:hAnsi="Arial" w:cs="Arial"/>
                <w:b/>
                <w:bCs/>
                <w:color w:val="FF6600"/>
                <w:kern w:val="0"/>
                <w:szCs w:val="24"/>
              </w:rPr>
              <w:t>Cash Payments for Income Taxes:</w:t>
            </w:r>
          </w:p>
          <w:p w:rsidR="00622F31" w:rsidRPr="00622F31" w:rsidRDefault="00622F31" w:rsidP="00622F31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622F31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The income statement of the company in our example shows income tax expenses $48,000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.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Pr="00622F31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 xml:space="preserve"> This amount equals the cash paid because the comparative balance sheet indicates no income tax payable at either the beginning or end of the year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.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</w:p>
          <w:p w:rsidR="00622F31" w:rsidRPr="00622F31" w:rsidRDefault="00622F31" w:rsidP="00622F31">
            <w:pPr>
              <w:widowControl/>
              <w:spacing w:before="100" w:beforeAutospacing="1" w:after="100" w:afterAutospacing="1"/>
              <w:outlineLvl w:val="2"/>
              <w:rPr>
                <w:rFonts w:ascii="Arial" w:eastAsia="新細明體" w:hAnsi="Arial" w:cs="Arial"/>
                <w:b/>
                <w:bCs/>
                <w:color w:val="FF6600"/>
                <w:kern w:val="0"/>
                <w:szCs w:val="24"/>
              </w:rPr>
            </w:pPr>
            <w:r w:rsidRPr="00622F31">
              <w:rPr>
                <w:rFonts w:ascii="Arial" w:eastAsia="新細明體" w:hAnsi="Arial" w:cs="Arial"/>
                <w:b/>
                <w:bCs/>
                <w:color w:val="FF6600"/>
                <w:kern w:val="0"/>
                <w:szCs w:val="24"/>
              </w:rPr>
              <w:t>Summary of Net Cash Flows from Operating Activities - Direct method:</w:t>
            </w:r>
          </w:p>
          <w:p w:rsidR="00622F31" w:rsidRPr="00622F31" w:rsidRDefault="00622F31" w:rsidP="00622F31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622F31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The computations illustrated above are summarized in the following schedule:</w:t>
            </w:r>
          </w:p>
          <w:p w:rsidR="00622F31" w:rsidRPr="00622F31" w:rsidRDefault="00622F31" w:rsidP="00622F31">
            <w:pPr>
              <w:widowControl/>
              <w:spacing w:before="100" w:beforeAutospacing="1" w:after="100" w:afterAutospacing="1"/>
              <w:jc w:val="center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622F31">
              <w:rPr>
                <w:rFonts w:ascii="Arial" w:eastAsia="新細明體" w:hAnsi="Arial" w:cs="Arial"/>
                <w:b/>
                <w:bCs/>
                <w:color w:val="FF6600"/>
                <w:kern w:val="0"/>
                <w:sz w:val="20"/>
                <w:szCs w:val="20"/>
              </w:rPr>
              <w:t>Accrual Basis to Cash Basis</w:t>
            </w:r>
          </w:p>
          <w:tbl>
            <w:tblPr>
              <w:tblW w:w="485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37"/>
            </w:tblGrid>
            <w:tr w:rsidR="00622F31" w:rsidRPr="00622F3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30"/>
                    <w:gridCol w:w="1440"/>
                    <w:gridCol w:w="330"/>
                    <w:gridCol w:w="2940"/>
                    <w:gridCol w:w="1395"/>
                    <w:gridCol w:w="1692"/>
                  </w:tblGrid>
                  <w:tr w:rsidR="00622F31" w:rsidRPr="00622F31">
                    <w:trPr>
                      <w:tblCellSpacing w:w="0" w:type="dxa"/>
                    </w:trPr>
                    <w:tc>
                      <w:tcPr>
                        <w:tcW w:w="3285" w:type="dxa"/>
                        <w:gridSpan w:val="2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b/>
                            <w:bCs/>
                            <w:color w:val="333333"/>
                            <w:kern w:val="0"/>
                            <w:sz w:val="15"/>
                            <w:szCs w:val="15"/>
                          </w:rPr>
                          <w:t>Accrual Basis</w:t>
                        </w:r>
                      </w:p>
                    </w:tc>
                    <w:tc>
                      <w:tcPr>
                        <w:tcW w:w="330" w:type="dxa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940" w:type="dxa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b/>
                            <w:bCs/>
                            <w:color w:val="333333"/>
                            <w:kern w:val="0"/>
                            <w:sz w:val="15"/>
                            <w:szCs w:val="15"/>
                          </w:rPr>
                          <w:t>Adjustments</w:t>
                        </w:r>
                      </w:p>
                    </w:tc>
                    <w:tc>
                      <w:tcPr>
                        <w:tcW w:w="1395" w:type="dxa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b/>
                            <w:bCs/>
                            <w:color w:val="333333"/>
                            <w:kern w:val="0"/>
                            <w:sz w:val="15"/>
                            <w:szCs w:val="15"/>
                          </w:rPr>
                          <w:t>Add</w:t>
                        </w:r>
                        <w:r w:rsidRPr="00622F31">
                          <w:rPr>
                            <w:rFonts w:ascii="Arial" w:eastAsia="新細明體" w:hAnsi="Arial" w:cs="Arial"/>
                            <w:b/>
                            <w:bCs/>
                            <w:color w:val="333333"/>
                            <w:kern w:val="0"/>
                            <w:sz w:val="15"/>
                            <w:szCs w:val="15"/>
                          </w:rPr>
                          <w:br/>
                          <w:t>(Subtract)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b/>
                            <w:bCs/>
                            <w:color w:val="333333"/>
                            <w:kern w:val="0"/>
                            <w:sz w:val="15"/>
                            <w:szCs w:val="15"/>
                          </w:rPr>
                          <w:t>Cash Basis</w:t>
                        </w:r>
                      </w:p>
                    </w:tc>
                  </w:tr>
                  <w:tr w:rsidR="00622F31" w:rsidRPr="00622F31">
                    <w:trPr>
                      <w:tblCellSpacing w:w="0" w:type="dxa"/>
                    </w:trPr>
                    <w:tc>
                      <w:tcPr>
                        <w:tcW w:w="2130" w:type="dxa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Revenue from sales</w:t>
                        </w:r>
                      </w:p>
                    </w:tc>
                    <w:tc>
                      <w:tcPr>
                        <w:tcW w:w="1155" w:type="dxa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$780,000</w:t>
                        </w:r>
                      </w:p>
                    </w:tc>
                    <w:tc>
                      <w:tcPr>
                        <w:tcW w:w="330" w:type="dxa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-</w:t>
                        </w:r>
                      </w:p>
                    </w:tc>
                    <w:tc>
                      <w:tcPr>
                        <w:tcW w:w="2940" w:type="dxa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Increase in accounts receivable</w:t>
                        </w:r>
                      </w:p>
                    </w:tc>
                    <w:tc>
                      <w:tcPr>
                        <w:tcW w:w="1395" w:type="dxa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$(15,000)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$765,000</w:t>
                        </w:r>
                      </w:p>
                    </w:tc>
                  </w:tr>
                  <w:tr w:rsidR="00622F31" w:rsidRPr="00622F31">
                    <w:trPr>
                      <w:tblCellSpacing w:w="0" w:type="dxa"/>
                    </w:trPr>
                    <w:tc>
                      <w:tcPr>
                        <w:tcW w:w="2130" w:type="dxa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Cost of goods sold</w:t>
                        </w:r>
                      </w:p>
                    </w:tc>
                    <w:tc>
                      <w:tcPr>
                        <w:tcW w:w="1155" w:type="dxa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450,000</w:t>
                        </w:r>
                      </w:p>
                    </w:tc>
                    <w:tc>
                      <w:tcPr>
                        <w:tcW w:w="330" w:type="dxa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+</w:t>
                        </w:r>
                      </w:p>
                    </w:tc>
                    <w:tc>
                      <w:tcPr>
                        <w:tcW w:w="2940" w:type="dxa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Increase in inventory</w:t>
                        </w:r>
                      </w:p>
                    </w:tc>
                    <w:tc>
                      <w:tcPr>
                        <w:tcW w:w="1395" w:type="dxa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160,000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622F31" w:rsidRPr="00622F31">
                    <w:trPr>
                      <w:tblCellSpacing w:w="0" w:type="dxa"/>
                    </w:trPr>
                    <w:tc>
                      <w:tcPr>
                        <w:tcW w:w="2130" w:type="dxa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155" w:type="dxa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330" w:type="dxa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-</w:t>
                        </w:r>
                      </w:p>
                    </w:tc>
                    <w:tc>
                      <w:tcPr>
                        <w:tcW w:w="2940" w:type="dxa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Increase in accounts payable</w:t>
                        </w:r>
                      </w:p>
                    </w:tc>
                    <w:tc>
                      <w:tcPr>
                        <w:tcW w:w="1395" w:type="dxa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(60,000)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550,000</w:t>
                        </w:r>
                      </w:p>
                    </w:tc>
                  </w:tr>
                  <w:tr w:rsidR="00622F31" w:rsidRPr="00622F31">
                    <w:trPr>
                      <w:tblCellSpacing w:w="0" w:type="dxa"/>
                    </w:trPr>
                    <w:tc>
                      <w:tcPr>
                        <w:tcW w:w="2130" w:type="dxa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Operating expenses</w:t>
                        </w:r>
                      </w:p>
                    </w:tc>
                    <w:tc>
                      <w:tcPr>
                        <w:tcW w:w="1155" w:type="dxa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160,000</w:t>
                        </w:r>
                      </w:p>
                    </w:tc>
                    <w:tc>
                      <w:tcPr>
                        <w:tcW w:w="330" w:type="dxa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+</w:t>
                        </w:r>
                      </w:p>
                    </w:tc>
                    <w:tc>
                      <w:tcPr>
                        <w:tcW w:w="2940" w:type="dxa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Increase in prepaid expenses</w:t>
                        </w:r>
                      </w:p>
                    </w:tc>
                    <w:tc>
                      <w:tcPr>
                        <w:tcW w:w="1395" w:type="dxa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8,000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622F31" w:rsidRPr="00622F31">
                    <w:trPr>
                      <w:tblCellSpacing w:w="0" w:type="dxa"/>
                    </w:trPr>
                    <w:tc>
                      <w:tcPr>
                        <w:tcW w:w="2130" w:type="dxa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155" w:type="dxa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330" w:type="dxa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-</w:t>
                        </w:r>
                      </w:p>
                    </w:tc>
                    <w:tc>
                      <w:tcPr>
                        <w:tcW w:w="2940" w:type="dxa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Increase in accrued expenses</w:t>
                        </w:r>
                      </w:p>
                    </w:tc>
                    <w:tc>
                      <w:tcPr>
                        <w:tcW w:w="1395" w:type="dxa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(20,000)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148,000</w:t>
                        </w:r>
                      </w:p>
                    </w:tc>
                  </w:tr>
                  <w:tr w:rsidR="00622F31" w:rsidRPr="00622F31">
                    <w:trPr>
                      <w:tblCellSpacing w:w="0" w:type="dxa"/>
                    </w:trPr>
                    <w:tc>
                      <w:tcPr>
                        <w:tcW w:w="2130" w:type="dxa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Depreciation expenses</w:t>
                        </w:r>
                      </w:p>
                    </w:tc>
                    <w:tc>
                      <w:tcPr>
                        <w:tcW w:w="1155" w:type="dxa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10,000</w:t>
                        </w:r>
                      </w:p>
                    </w:tc>
                    <w:tc>
                      <w:tcPr>
                        <w:tcW w:w="330" w:type="dxa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-</w:t>
                        </w:r>
                      </w:p>
                    </w:tc>
                    <w:tc>
                      <w:tcPr>
                        <w:tcW w:w="2940" w:type="dxa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Depreciation expenses</w:t>
                        </w:r>
                      </w:p>
                    </w:tc>
                    <w:tc>
                      <w:tcPr>
                        <w:tcW w:w="1395" w:type="dxa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(10,000)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-0-</w:t>
                        </w:r>
                      </w:p>
                    </w:tc>
                  </w:tr>
                  <w:tr w:rsidR="00622F31" w:rsidRPr="00622F31">
                    <w:trPr>
                      <w:tblCellSpacing w:w="0" w:type="dxa"/>
                    </w:trPr>
                    <w:tc>
                      <w:tcPr>
                        <w:tcW w:w="2130" w:type="dxa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Income tax expenses</w:t>
                        </w:r>
                      </w:p>
                    </w:tc>
                    <w:tc>
                      <w:tcPr>
                        <w:tcW w:w="1155" w:type="dxa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48,000</w:t>
                        </w:r>
                      </w:p>
                    </w:tc>
                    <w:tc>
                      <w:tcPr>
                        <w:tcW w:w="330" w:type="dxa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940" w:type="dxa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395" w:type="dxa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48,000</w:t>
                        </w:r>
                      </w:p>
                    </w:tc>
                  </w:tr>
                  <w:tr w:rsidR="00622F31" w:rsidRPr="00622F31">
                    <w:trPr>
                      <w:tblCellSpacing w:w="0" w:type="dxa"/>
                    </w:trPr>
                    <w:tc>
                      <w:tcPr>
                        <w:tcW w:w="2130" w:type="dxa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155" w:type="dxa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  <w:pict>
                            <v:rect id="_x0000_i1042" style="width:362.8pt;height:.75pt" o:hrpct="800" o:hralign="center" o:hrstd="t" o:hrnoshade="t" o:hr="t" fillcolor="black" stroked="f"/>
                          </w:pict>
                        </w:r>
                      </w:p>
                    </w:tc>
                    <w:tc>
                      <w:tcPr>
                        <w:tcW w:w="330" w:type="dxa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940" w:type="dxa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395" w:type="dxa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  <w:pict>
                            <v:rect id="_x0000_i1043" style="width:362.8pt;height:.75pt" o:hrpct="800" o:hralign="center" o:hrstd="t" o:hrnoshade="t" o:hr="t" fillcolor="black" stroked="f"/>
                          </w:pict>
                        </w:r>
                      </w:p>
                    </w:tc>
                  </w:tr>
                  <w:tr w:rsidR="00622F31" w:rsidRPr="00622F31">
                    <w:trPr>
                      <w:tblCellSpacing w:w="0" w:type="dxa"/>
                    </w:trPr>
                    <w:tc>
                      <w:tcPr>
                        <w:tcW w:w="2130" w:type="dxa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Total expenses</w:t>
                        </w:r>
                      </w:p>
                    </w:tc>
                    <w:tc>
                      <w:tcPr>
                        <w:tcW w:w="1155" w:type="dxa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668,000</w:t>
                        </w:r>
                      </w:p>
                    </w:tc>
                    <w:tc>
                      <w:tcPr>
                        <w:tcW w:w="330" w:type="dxa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940" w:type="dxa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395" w:type="dxa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746,000</w:t>
                        </w:r>
                      </w:p>
                    </w:tc>
                  </w:tr>
                  <w:tr w:rsidR="00622F31" w:rsidRPr="00622F31">
                    <w:trPr>
                      <w:tblCellSpacing w:w="0" w:type="dxa"/>
                    </w:trPr>
                    <w:tc>
                      <w:tcPr>
                        <w:tcW w:w="2130" w:type="dxa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155" w:type="dxa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  <w:pict>
                            <v:rect id="_x0000_i1044" style="width:362.8pt;height:.75pt" o:hrpct="800" o:hralign="center" o:hrstd="t" o:hrnoshade="t" o:hr="t" fillcolor="black" stroked="f"/>
                          </w:pict>
                        </w:r>
                      </w:p>
                    </w:tc>
                    <w:tc>
                      <w:tcPr>
                        <w:tcW w:w="330" w:type="dxa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940" w:type="dxa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395" w:type="dxa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  <w:pict>
                            <v:rect id="_x0000_i1045" style="width:362.8pt;height:.75pt" o:hrpct="800" o:hralign="center" o:hrstd="t" o:hrnoshade="t" o:hr="t" fillcolor="black" stroked="f"/>
                          </w:pict>
                        </w:r>
                      </w:p>
                    </w:tc>
                  </w:tr>
                  <w:tr w:rsidR="00622F31" w:rsidRPr="00622F31">
                    <w:trPr>
                      <w:tblCellSpacing w:w="0" w:type="dxa"/>
                    </w:trPr>
                    <w:tc>
                      <w:tcPr>
                        <w:tcW w:w="2130" w:type="dxa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Net income</w:t>
                        </w:r>
                      </w:p>
                    </w:tc>
                    <w:tc>
                      <w:tcPr>
                        <w:tcW w:w="1155" w:type="dxa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$112,000</w:t>
                        </w:r>
                      </w:p>
                    </w:tc>
                    <w:tc>
                      <w:tcPr>
                        <w:tcW w:w="330" w:type="dxa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335" w:type="dxa"/>
                        <w:gridSpan w:val="2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Net cash provided by operating activities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$19,000</w:t>
                        </w:r>
                      </w:p>
                    </w:tc>
                  </w:tr>
                  <w:tr w:rsidR="00622F31" w:rsidRPr="00622F31">
                    <w:trPr>
                      <w:tblCellSpacing w:w="0" w:type="dxa"/>
                    </w:trPr>
                    <w:tc>
                      <w:tcPr>
                        <w:tcW w:w="2130" w:type="dxa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155" w:type="dxa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  <w:pict>
                            <v:rect id="_x0000_i1046" style="width:362.8pt;height:.75pt" o:hrpct="800" o:hralign="center" o:hrstd="t" o:hrnoshade="t" o:hr="t" fillcolor="black" stroked="f"/>
                          </w:pict>
                        </w:r>
                      </w:p>
                    </w:tc>
                    <w:tc>
                      <w:tcPr>
                        <w:tcW w:w="330" w:type="dxa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2940" w:type="dxa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395" w:type="dxa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  <w:pict>
                            <v:rect id="_x0000_i1047" style="width:362.8pt;height:.75pt" o:hrpct="800" o:hralign="center" o:hrstd="t" o:hrnoshade="t" o:hr="t" fillcolor="black" stroked="f"/>
                          </w:pict>
                        </w:r>
                      </w:p>
                    </w:tc>
                  </w:tr>
                </w:tbl>
                <w:p w:rsidR="00622F31" w:rsidRPr="00622F31" w:rsidRDefault="00622F31" w:rsidP="00622F31">
                  <w:pPr>
                    <w:widowControl/>
                    <w:rPr>
                      <w:rFonts w:ascii="Arial" w:eastAsia="新細明體" w:hAnsi="Arial" w:cs="Arial"/>
                      <w:color w:val="333333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622F31" w:rsidRPr="00622F31" w:rsidRDefault="00622F31" w:rsidP="00622F31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622F31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lastRenderedPageBreak/>
              <w:t>Presentation of the direct method for reporting net cash flow from operating activities takes the following form:</w:t>
            </w:r>
          </w:p>
          <w:tbl>
            <w:tblPr>
              <w:tblW w:w="36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24"/>
            </w:tblGrid>
            <w:tr w:rsidR="00622F31" w:rsidRPr="00622F3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34"/>
                    <w:gridCol w:w="1440"/>
                    <w:gridCol w:w="1440"/>
                  </w:tblGrid>
                  <w:tr w:rsidR="00622F31" w:rsidRPr="00622F31">
                    <w:trPr>
                      <w:trHeight w:val="150"/>
                      <w:tblCellSpacing w:w="0" w:type="dxa"/>
                    </w:trPr>
                    <w:tc>
                      <w:tcPr>
                        <w:tcW w:w="32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spacing w:line="150" w:lineRule="atLeast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Cash received from operating activities:</w:t>
                        </w:r>
                      </w:p>
                    </w:tc>
                    <w:tc>
                      <w:tcPr>
                        <w:tcW w:w="9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6"/>
                            <w:szCs w:val="20"/>
                          </w:rPr>
                        </w:pPr>
                      </w:p>
                    </w:tc>
                  </w:tr>
                  <w:tr w:rsidR="00622F31" w:rsidRPr="00622F31">
                    <w:trPr>
                      <w:trHeight w:val="45"/>
                      <w:tblCellSpacing w:w="0" w:type="dxa"/>
                    </w:trPr>
                    <w:tc>
                      <w:tcPr>
                        <w:tcW w:w="32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spacing w:line="45" w:lineRule="atLeast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Cash received from customers</w:t>
                        </w:r>
                      </w:p>
                    </w:tc>
                    <w:tc>
                      <w:tcPr>
                        <w:tcW w:w="9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4"/>
                            <w:szCs w:val="20"/>
                          </w:rPr>
                        </w:pP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spacing w:line="45" w:lineRule="atLeast"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$765,000</w:t>
                        </w:r>
                      </w:p>
                    </w:tc>
                  </w:tr>
                  <w:tr w:rsidR="00622F31" w:rsidRPr="00622F31">
                    <w:trPr>
                      <w:trHeight w:val="30"/>
                      <w:tblCellSpacing w:w="0" w:type="dxa"/>
                    </w:trPr>
                    <w:tc>
                      <w:tcPr>
                        <w:tcW w:w="32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spacing w:line="30" w:lineRule="atLeast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Cash payments:</w:t>
                        </w:r>
                      </w:p>
                    </w:tc>
                    <w:tc>
                      <w:tcPr>
                        <w:tcW w:w="9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4"/>
                            <w:szCs w:val="20"/>
                          </w:rPr>
                        </w:pP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4"/>
                            <w:szCs w:val="20"/>
                          </w:rPr>
                        </w:pPr>
                      </w:p>
                    </w:tc>
                  </w:tr>
                  <w:tr w:rsidR="00622F31" w:rsidRPr="00622F31">
                    <w:trPr>
                      <w:trHeight w:val="45"/>
                      <w:tblCellSpacing w:w="0" w:type="dxa"/>
                    </w:trPr>
                    <w:tc>
                      <w:tcPr>
                        <w:tcW w:w="32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spacing w:line="45" w:lineRule="atLeast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To suppliers</w:t>
                        </w:r>
                      </w:p>
                    </w:tc>
                    <w:tc>
                      <w:tcPr>
                        <w:tcW w:w="9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spacing w:line="45" w:lineRule="atLeast"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$ 550,000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4"/>
                            <w:szCs w:val="20"/>
                          </w:rPr>
                        </w:pPr>
                      </w:p>
                    </w:tc>
                  </w:tr>
                  <w:tr w:rsidR="00622F31" w:rsidRPr="00622F31">
                    <w:trPr>
                      <w:trHeight w:val="30"/>
                      <w:tblCellSpacing w:w="0" w:type="dxa"/>
                    </w:trPr>
                    <w:tc>
                      <w:tcPr>
                        <w:tcW w:w="32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spacing w:line="30" w:lineRule="atLeast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For operating expenses</w:t>
                        </w:r>
                      </w:p>
                    </w:tc>
                    <w:tc>
                      <w:tcPr>
                        <w:tcW w:w="9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spacing w:line="30" w:lineRule="atLeast"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148,000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4"/>
                            <w:szCs w:val="20"/>
                          </w:rPr>
                        </w:pPr>
                      </w:p>
                    </w:tc>
                  </w:tr>
                  <w:tr w:rsidR="00622F31" w:rsidRPr="00622F31">
                    <w:trPr>
                      <w:trHeight w:val="150"/>
                      <w:tblCellSpacing w:w="0" w:type="dxa"/>
                    </w:trPr>
                    <w:tc>
                      <w:tcPr>
                        <w:tcW w:w="32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spacing w:line="150" w:lineRule="atLeast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For income taxes</w:t>
                        </w:r>
                      </w:p>
                    </w:tc>
                    <w:tc>
                      <w:tcPr>
                        <w:tcW w:w="9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spacing w:line="150" w:lineRule="atLeast"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48,000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spacing w:line="150" w:lineRule="atLeast"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746,000</w:t>
                        </w:r>
                      </w:p>
                    </w:tc>
                  </w:tr>
                  <w:tr w:rsidR="00622F31" w:rsidRPr="00622F31">
                    <w:trPr>
                      <w:trHeight w:val="150"/>
                      <w:tblCellSpacing w:w="0" w:type="dxa"/>
                    </w:trPr>
                    <w:tc>
                      <w:tcPr>
                        <w:tcW w:w="32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9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spacing w:line="150" w:lineRule="atLeast"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  <w:pict>
                            <v:rect id="_x0000_i1048" style="width:294.8pt;height:.75pt" o:hrpct="650" o:hralign="center" o:hrstd="t" o:hrnoshade="t" o:hr="t" fillcolor="black" stroked="f"/>
                          </w:pic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spacing w:line="150" w:lineRule="atLeast"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  <w:pict>
                            <v:rect id="_x0000_i1049" style="width:294.8pt;height:.75pt" o:hrpct="650" o:hralign="center" o:hrstd="t" o:hrnoshade="t" o:hr="t" fillcolor="black" stroked="f"/>
                          </w:pict>
                        </w:r>
                      </w:p>
                    </w:tc>
                  </w:tr>
                  <w:tr w:rsidR="00622F31" w:rsidRPr="00622F31">
                    <w:trPr>
                      <w:trHeight w:val="75"/>
                      <w:tblCellSpacing w:w="0" w:type="dxa"/>
                    </w:trPr>
                    <w:tc>
                      <w:tcPr>
                        <w:tcW w:w="32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spacing w:line="75" w:lineRule="atLeast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Net cash provided by operating activities</w:t>
                        </w:r>
                      </w:p>
                    </w:tc>
                    <w:tc>
                      <w:tcPr>
                        <w:tcW w:w="9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8"/>
                            <w:szCs w:val="20"/>
                          </w:rPr>
                        </w:pP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spacing w:line="75" w:lineRule="atLeast"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$19,000</w:t>
                        </w:r>
                      </w:p>
                    </w:tc>
                  </w:tr>
                  <w:tr w:rsidR="00622F31" w:rsidRPr="00622F31">
                    <w:trPr>
                      <w:trHeight w:val="75"/>
                      <w:tblCellSpacing w:w="0" w:type="dxa"/>
                    </w:trPr>
                    <w:tc>
                      <w:tcPr>
                        <w:tcW w:w="32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8"/>
                            <w:szCs w:val="20"/>
                          </w:rPr>
                        </w:pPr>
                      </w:p>
                    </w:tc>
                    <w:tc>
                      <w:tcPr>
                        <w:tcW w:w="9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8"/>
                            <w:szCs w:val="20"/>
                          </w:rPr>
                        </w:pP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spacing w:line="75" w:lineRule="atLeast"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  <w:pict>
                            <v:rect id="_x0000_i1050" style="width:294.8pt;height:.75pt" o:hrpct="650" o:hralign="center" o:hrstd="t" o:hrnoshade="t" o:hr="t" fillcolor="black" stroked="f"/>
                          </w:pict>
                        </w:r>
                      </w:p>
                    </w:tc>
                  </w:tr>
                </w:tbl>
                <w:p w:rsidR="00622F31" w:rsidRPr="00622F31" w:rsidRDefault="00622F31" w:rsidP="00622F31">
                  <w:pPr>
                    <w:widowControl/>
                    <w:rPr>
                      <w:rFonts w:ascii="Arial" w:eastAsia="新細明體" w:hAnsi="Arial" w:cs="Arial"/>
                      <w:color w:val="333333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622F31" w:rsidRPr="00622F31" w:rsidRDefault="00622F31" w:rsidP="00622F31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622F31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If the company uses the direct method to present the net cash flows from operating activities, it will provide a separate schedule of the reconciliation of net income to net cash provided by operating activities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.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Pr="00622F31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 xml:space="preserve"> The reconciliation assumes the identical form and content of the indirect method of presentation as shown below: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450"/>
            </w:tblGrid>
            <w:tr w:rsidR="00622F31" w:rsidRPr="00622F3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67"/>
                    <w:gridCol w:w="1440"/>
                    <w:gridCol w:w="1533"/>
                  </w:tblGrid>
                  <w:tr w:rsidR="00622F31" w:rsidRPr="00622F31">
                    <w:trPr>
                      <w:trHeight w:val="300"/>
                      <w:tblCellSpacing w:w="0" w:type="dxa"/>
                    </w:trPr>
                    <w:tc>
                      <w:tcPr>
                        <w:tcW w:w="35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b/>
                            <w:bCs/>
                            <w:color w:val="333333"/>
                            <w:kern w:val="0"/>
                            <w:sz w:val="15"/>
                            <w:szCs w:val="15"/>
                          </w:rPr>
                          <w:t>Cash flow from operating activities: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22F31" w:rsidRPr="00622F31">
                    <w:trPr>
                      <w:trHeight w:val="300"/>
                      <w:tblCellSpacing w:w="0" w:type="dxa"/>
                    </w:trPr>
                    <w:tc>
                      <w:tcPr>
                        <w:tcW w:w="35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Net income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$112,000</w:t>
                        </w:r>
                      </w:p>
                    </w:tc>
                  </w:tr>
                  <w:tr w:rsidR="00622F31" w:rsidRPr="00622F31">
                    <w:trPr>
                      <w:trHeight w:val="300"/>
                      <w:tblCellSpacing w:w="0" w:type="dxa"/>
                    </w:trPr>
                    <w:tc>
                      <w:tcPr>
                        <w:tcW w:w="35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Adjustments to reconcile net income to net cash used by operating by activities: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22F31" w:rsidRPr="00622F31">
                    <w:trPr>
                      <w:trHeight w:val="300"/>
                      <w:tblCellSpacing w:w="0" w:type="dxa"/>
                    </w:trPr>
                    <w:tc>
                      <w:tcPr>
                        <w:tcW w:w="35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   Depreciation expenses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10,000</w:t>
                        </w:r>
                      </w:p>
                    </w:tc>
                    <w:tc>
                      <w:tcPr>
                        <w:tcW w:w="7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22F31" w:rsidRPr="00622F31">
                    <w:trPr>
                      <w:trHeight w:val="300"/>
                      <w:tblCellSpacing w:w="0" w:type="dxa"/>
                    </w:trPr>
                    <w:tc>
                      <w:tcPr>
                        <w:tcW w:w="35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 xml:space="preserve">   Increase in accounts receivable 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(15,000)</w:t>
                        </w:r>
                      </w:p>
                    </w:tc>
                    <w:tc>
                      <w:tcPr>
                        <w:tcW w:w="7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22F31" w:rsidRPr="00622F31">
                    <w:trPr>
                      <w:trHeight w:val="300"/>
                      <w:tblCellSpacing w:w="0" w:type="dxa"/>
                    </w:trPr>
                    <w:tc>
                      <w:tcPr>
                        <w:tcW w:w="35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   Increase in inventories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(160,000)</w:t>
                        </w:r>
                      </w:p>
                    </w:tc>
                    <w:tc>
                      <w:tcPr>
                        <w:tcW w:w="7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22F31" w:rsidRPr="00622F31">
                    <w:trPr>
                      <w:trHeight w:val="300"/>
                      <w:tblCellSpacing w:w="0" w:type="dxa"/>
                    </w:trPr>
                    <w:tc>
                      <w:tcPr>
                        <w:tcW w:w="35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   Increase in prepaid expenses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(8,000)</w:t>
                        </w:r>
                      </w:p>
                    </w:tc>
                    <w:tc>
                      <w:tcPr>
                        <w:tcW w:w="7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22F31" w:rsidRPr="00622F31">
                    <w:trPr>
                      <w:trHeight w:val="300"/>
                      <w:tblCellSpacing w:w="0" w:type="dxa"/>
                    </w:trPr>
                    <w:tc>
                      <w:tcPr>
                        <w:tcW w:w="35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   Increase in accounts payable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60,000</w:t>
                        </w:r>
                      </w:p>
                    </w:tc>
                    <w:tc>
                      <w:tcPr>
                        <w:tcW w:w="7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22F31" w:rsidRPr="00622F31">
                    <w:trPr>
                      <w:trHeight w:val="300"/>
                      <w:tblCellSpacing w:w="0" w:type="dxa"/>
                    </w:trPr>
                    <w:tc>
                      <w:tcPr>
                        <w:tcW w:w="35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   Increase in accrued expenses payable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20,000</w:t>
                        </w:r>
                      </w:p>
                    </w:tc>
                    <w:tc>
                      <w:tcPr>
                        <w:tcW w:w="7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$(93,000)</w:t>
                        </w:r>
                      </w:p>
                    </w:tc>
                  </w:tr>
                  <w:tr w:rsidR="00622F31" w:rsidRPr="00622F31">
                    <w:trPr>
                      <w:trHeight w:val="300"/>
                      <w:tblCellSpacing w:w="0" w:type="dxa"/>
                    </w:trPr>
                    <w:tc>
                      <w:tcPr>
                        <w:tcW w:w="35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  <w:pict>
                            <v:rect id="_x0000_i1051" style="width:362.8pt;height:.75pt" o:hrpct="800" o:hralign="center" o:hrstd="t" o:hrnoshade="t" o:hr="t" fillcolor="black" stroked="f"/>
                          </w:pict>
                        </w:r>
                      </w:p>
                    </w:tc>
                    <w:tc>
                      <w:tcPr>
                        <w:tcW w:w="7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  <w:pict>
                            <v:rect id="_x0000_i1052" style="width:362.8pt;height:.75pt" o:hrpct="800" o:hralign="center" o:hrstd="t" o:hrnoshade="t" o:hr="t" fillcolor="black" stroked="f"/>
                          </w:pict>
                        </w:r>
                      </w:p>
                    </w:tc>
                  </w:tr>
                  <w:tr w:rsidR="00622F31" w:rsidRPr="00622F31">
                    <w:trPr>
                      <w:trHeight w:val="150"/>
                      <w:tblCellSpacing w:w="0" w:type="dxa"/>
                    </w:trPr>
                    <w:tc>
                      <w:tcPr>
                        <w:tcW w:w="35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spacing w:line="150" w:lineRule="atLeast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Net cash provided by operating activities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7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spacing w:line="150" w:lineRule="atLeast"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5"/>
                            <w:szCs w:val="15"/>
                          </w:rPr>
                          <w:t>$19,000</w:t>
                        </w:r>
                      </w:p>
                    </w:tc>
                  </w:tr>
                  <w:tr w:rsidR="00622F31" w:rsidRPr="00622F31">
                    <w:trPr>
                      <w:trHeight w:val="150"/>
                      <w:tblCellSpacing w:w="0" w:type="dxa"/>
                    </w:trPr>
                    <w:tc>
                      <w:tcPr>
                        <w:tcW w:w="35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750" w:type="pct"/>
                        <w:vAlign w:val="center"/>
                        <w:hideMark/>
                      </w:tcPr>
                      <w:p w:rsidR="00622F31" w:rsidRPr="00622F31" w:rsidRDefault="00622F31" w:rsidP="00622F31">
                        <w:pPr>
                          <w:widowControl/>
                          <w:spacing w:line="150" w:lineRule="atLeast"/>
                          <w:jc w:val="center"/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</w:pPr>
                        <w:r w:rsidRPr="00622F31">
                          <w:rPr>
                            <w:rFonts w:ascii="Arial" w:eastAsia="新細明體" w:hAnsi="Arial" w:cs="Arial"/>
                            <w:color w:val="333333"/>
                            <w:kern w:val="0"/>
                            <w:sz w:val="20"/>
                            <w:szCs w:val="20"/>
                          </w:rPr>
                          <w:pict>
                            <v:rect id="_x0000_i1053" style="width:362.8pt;height:.75pt" o:hrpct="800" o:hralign="center" o:hrstd="t" o:hrnoshade="t" o:hr="t" fillcolor="black" stroked="f"/>
                          </w:pict>
                        </w:r>
                      </w:p>
                    </w:tc>
                  </w:tr>
                </w:tbl>
                <w:p w:rsidR="00622F31" w:rsidRPr="00622F31" w:rsidRDefault="00622F31" w:rsidP="00622F31">
                  <w:pPr>
                    <w:widowControl/>
                    <w:rPr>
                      <w:rFonts w:ascii="Arial" w:eastAsia="新細明體" w:hAnsi="Arial" w:cs="Arial"/>
                      <w:color w:val="333333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622F31" w:rsidRPr="00622F31" w:rsidRDefault="00622F31" w:rsidP="00622F31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</w:pPr>
            <w:r w:rsidRPr="00622F31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The reconciliation may be presented at the bottom of the statement of cash flows when the direct method is used or in a separate schedule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.</w:t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  <w:r w:rsidR="00DA4EAF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br/>
            </w:r>
          </w:p>
        </w:tc>
      </w:tr>
    </w:tbl>
    <w:p w:rsidR="00DC7CEE" w:rsidRPr="00622F31" w:rsidRDefault="00DC7CEE"/>
    <w:sectPr w:rsidR="00DC7CEE" w:rsidRPr="00622F31" w:rsidSect="0055040A">
      <w:footerReference w:type="default" r:id="rId14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7D5" w:rsidRDefault="007C27D5" w:rsidP="0055040A">
      <w:r>
        <w:separator/>
      </w:r>
    </w:p>
  </w:endnote>
  <w:endnote w:type="continuationSeparator" w:id="0">
    <w:p w:rsidR="007C27D5" w:rsidRDefault="007C27D5" w:rsidP="00550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8103292"/>
      <w:docPartObj>
        <w:docPartGallery w:val="Page Numbers (Bottom of Page)"/>
        <w:docPartUnique/>
      </w:docPartObj>
    </w:sdtPr>
    <w:sdtEndPr/>
    <w:sdtContent>
      <w:p w:rsidR="00E12B96" w:rsidRDefault="00E12B9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F3B" w:rsidRPr="00403F3B">
          <w:rPr>
            <w:noProof/>
            <w:lang w:val="zh-TW"/>
          </w:rPr>
          <w:t>1</w:t>
        </w:r>
        <w:r>
          <w:fldChar w:fldCharType="end"/>
        </w:r>
      </w:p>
    </w:sdtContent>
  </w:sdt>
  <w:p w:rsidR="00E12B96" w:rsidRDefault="00E12B9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7D5" w:rsidRDefault="007C27D5" w:rsidP="0055040A">
      <w:r>
        <w:separator/>
      </w:r>
    </w:p>
  </w:footnote>
  <w:footnote w:type="continuationSeparator" w:id="0">
    <w:p w:rsidR="007C27D5" w:rsidRDefault="007C27D5" w:rsidP="00550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E54FE"/>
    <w:multiLevelType w:val="multilevel"/>
    <w:tmpl w:val="920A1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A3C"/>
    <w:rsid w:val="00002A3C"/>
    <w:rsid w:val="001B0FC5"/>
    <w:rsid w:val="00403F3B"/>
    <w:rsid w:val="0055040A"/>
    <w:rsid w:val="00622F31"/>
    <w:rsid w:val="007C27D5"/>
    <w:rsid w:val="00DA4EAF"/>
    <w:rsid w:val="00DC7CEE"/>
    <w:rsid w:val="00E1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622F31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color w:val="000000"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rsid w:val="00622F31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color w:val="0299E0"/>
      <w:kern w:val="0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22F3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color w:val="FF66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4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040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04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040A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622F31"/>
    <w:rPr>
      <w:rFonts w:ascii="新細明體" w:eastAsia="新細明體" w:hAnsi="新細明體" w:cs="新細明體"/>
      <w:b/>
      <w:bCs/>
      <w:color w:val="000000"/>
      <w:kern w:val="36"/>
      <w:sz w:val="36"/>
      <w:szCs w:val="36"/>
    </w:rPr>
  </w:style>
  <w:style w:type="character" w:customStyle="1" w:styleId="20">
    <w:name w:val="標題 2 字元"/>
    <w:basedOn w:val="a0"/>
    <w:link w:val="2"/>
    <w:uiPriority w:val="9"/>
    <w:rsid w:val="00622F31"/>
    <w:rPr>
      <w:rFonts w:ascii="新細明體" w:eastAsia="新細明體" w:hAnsi="新細明體" w:cs="新細明體"/>
      <w:b/>
      <w:bCs/>
      <w:color w:val="0299E0"/>
      <w:kern w:val="0"/>
      <w:sz w:val="28"/>
      <w:szCs w:val="28"/>
    </w:rPr>
  </w:style>
  <w:style w:type="character" w:customStyle="1" w:styleId="30">
    <w:name w:val="標題 3 字元"/>
    <w:basedOn w:val="a0"/>
    <w:link w:val="3"/>
    <w:uiPriority w:val="9"/>
    <w:rsid w:val="00622F31"/>
    <w:rPr>
      <w:rFonts w:ascii="新細明體" w:eastAsia="新細明體" w:hAnsi="新細明體" w:cs="新細明體"/>
      <w:b/>
      <w:bCs/>
      <w:color w:val="FF6600"/>
      <w:kern w:val="0"/>
      <w:szCs w:val="24"/>
    </w:rPr>
  </w:style>
  <w:style w:type="character" w:styleId="a7">
    <w:name w:val="Hyperlink"/>
    <w:basedOn w:val="a0"/>
    <w:uiPriority w:val="99"/>
    <w:semiHidden/>
    <w:unhideWhenUsed/>
    <w:rsid w:val="00622F31"/>
    <w:rPr>
      <w:strike w:val="0"/>
      <w:dstrike w:val="0"/>
      <w:color w:val="0299E0"/>
      <w:u w:val="none"/>
      <w:effect w:val="none"/>
    </w:rPr>
  </w:style>
  <w:style w:type="paragraph" w:styleId="Web">
    <w:name w:val="Normal (Web)"/>
    <w:basedOn w:val="a"/>
    <w:uiPriority w:val="99"/>
    <w:unhideWhenUsed/>
    <w:rsid w:val="00622F3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22F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22F3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622F31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color w:val="000000"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rsid w:val="00622F31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color w:val="0299E0"/>
      <w:kern w:val="0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22F3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color w:val="FF66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4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040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04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040A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622F31"/>
    <w:rPr>
      <w:rFonts w:ascii="新細明體" w:eastAsia="新細明體" w:hAnsi="新細明體" w:cs="新細明體"/>
      <w:b/>
      <w:bCs/>
      <w:color w:val="000000"/>
      <w:kern w:val="36"/>
      <w:sz w:val="36"/>
      <w:szCs w:val="36"/>
    </w:rPr>
  </w:style>
  <w:style w:type="character" w:customStyle="1" w:styleId="20">
    <w:name w:val="標題 2 字元"/>
    <w:basedOn w:val="a0"/>
    <w:link w:val="2"/>
    <w:uiPriority w:val="9"/>
    <w:rsid w:val="00622F31"/>
    <w:rPr>
      <w:rFonts w:ascii="新細明體" w:eastAsia="新細明體" w:hAnsi="新細明體" w:cs="新細明體"/>
      <w:b/>
      <w:bCs/>
      <w:color w:val="0299E0"/>
      <w:kern w:val="0"/>
      <w:sz w:val="28"/>
      <w:szCs w:val="28"/>
    </w:rPr>
  </w:style>
  <w:style w:type="character" w:customStyle="1" w:styleId="30">
    <w:name w:val="標題 3 字元"/>
    <w:basedOn w:val="a0"/>
    <w:link w:val="3"/>
    <w:uiPriority w:val="9"/>
    <w:rsid w:val="00622F31"/>
    <w:rPr>
      <w:rFonts w:ascii="新細明體" w:eastAsia="新細明體" w:hAnsi="新細明體" w:cs="新細明體"/>
      <w:b/>
      <w:bCs/>
      <w:color w:val="FF6600"/>
      <w:kern w:val="0"/>
      <w:szCs w:val="24"/>
    </w:rPr>
  </w:style>
  <w:style w:type="character" w:styleId="a7">
    <w:name w:val="Hyperlink"/>
    <w:basedOn w:val="a0"/>
    <w:uiPriority w:val="99"/>
    <w:semiHidden/>
    <w:unhideWhenUsed/>
    <w:rsid w:val="00622F31"/>
    <w:rPr>
      <w:strike w:val="0"/>
      <w:dstrike w:val="0"/>
      <w:color w:val="0299E0"/>
      <w:u w:val="none"/>
      <w:effect w:val="none"/>
    </w:rPr>
  </w:style>
  <w:style w:type="paragraph" w:styleId="Web">
    <w:name w:val="Normal (Web)"/>
    <w:basedOn w:val="a"/>
    <w:uiPriority w:val="99"/>
    <w:unhideWhenUsed/>
    <w:rsid w:val="00622F3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22F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22F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countingexplanation.com/cash_flow_statement_indirect_method.htm" TargetMode="External"/><Relationship Id="rId13" Type="http://schemas.openxmlformats.org/officeDocument/2006/relationships/hyperlink" Target="http://www.accountingexplanation.com/income_statement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accountingexplanation.com/cost_of_goods_sold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ccountingexplanation.com/cash_flow_statement_direct_method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ccountingexplanation.com/cash_flow_statement_direct_method.ht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2141</Words>
  <Characters>12204</Characters>
  <Application>Microsoft Office Word</Application>
  <DocSecurity>0</DocSecurity>
  <Lines>101</Lines>
  <Paragraphs>28</Paragraphs>
  <ScaleCrop>false</ScaleCrop>
  <Company>Hewlett-Packard</Company>
  <LinksUpToDate>false</LinksUpToDate>
  <CharactersWithSpaces>14317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2014-11-02T14:21:00Z</dcterms:created>
  <dcterms:modified xsi:type="dcterms:W3CDTF">2014-11-02T14:43:00Z</dcterms:modified>
</cp:coreProperties>
</file>