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A6" w:rsidRPr="00FE3C88" w:rsidRDefault="008D10A6" w:rsidP="008D10A6">
      <w:pPr>
        <w:rPr>
          <w:b/>
        </w:rPr>
      </w:pPr>
      <w:r w:rsidRPr="00FE3C88">
        <w:rPr>
          <w:b/>
        </w:rPr>
        <w:t>Cash Flow from Operating Activities Indirect Method</w:t>
      </w:r>
    </w:p>
    <w:p w:rsidR="008D10A6" w:rsidRDefault="008D10A6" w:rsidP="008D10A6"/>
    <w:p w:rsidR="008D10A6" w:rsidRDefault="008D10A6" w:rsidP="008D10A6">
      <w:r>
        <w:t xml:space="preserve"> </w:t>
      </w:r>
    </w:p>
    <w:p w:rsidR="008D10A6" w:rsidRDefault="008D10A6" w:rsidP="008D10A6"/>
    <w:p w:rsidR="008D10A6" w:rsidRDefault="008D10A6" w:rsidP="008D10A6">
      <w:r>
        <w:t xml:space="preserve">  </w:t>
      </w:r>
    </w:p>
    <w:p w:rsidR="008D10A6" w:rsidRDefault="008D10A6" w:rsidP="008D10A6">
      <w:r>
        <w:t>The first section of a cash flow statement, known as cash flow from operating activities, can be prepared using two different methods known as the direct method and the indirect method</w:t>
      </w:r>
      <w:r w:rsidR="00DF5220">
        <w:t>.</w:t>
      </w:r>
      <w:r w:rsidR="00DF5220">
        <w:br/>
      </w:r>
      <w:r w:rsidR="00DF5220">
        <w:br/>
      </w:r>
      <w:r w:rsidR="00DF5220">
        <w:br/>
      </w:r>
      <w:r>
        <w:t xml:space="preserve"> Here we will study the indirect method to calculate cash flows from operating activities</w:t>
      </w:r>
      <w:r w:rsidR="00DF5220">
        <w:t>.</w:t>
      </w:r>
      <w:r w:rsidR="00DF5220">
        <w:br/>
      </w:r>
      <w:r w:rsidR="00DF5220">
        <w:br/>
      </w:r>
      <w:r w:rsidR="00DF5220">
        <w:br/>
      </w:r>
    </w:p>
    <w:p w:rsidR="008D10A6" w:rsidRDefault="008D10A6" w:rsidP="008D10A6"/>
    <w:p w:rsidR="008D10A6" w:rsidRDefault="008D10A6" w:rsidP="008D10A6">
      <w:r>
        <w:t>In indirect method, the net income figure from the income statement is used to calculate the amount of net cash flow from operating activities</w:t>
      </w:r>
      <w:r w:rsidR="00DF5220">
        <w:t>.</w:t>
      </w:r>
      <w:r w:rsidR="00DF5220">
        <w:br/>
      </w:r>
      <w:r w:rsidR="00DF5220">
        <w:br/>
      </w:r>
      <w:r w:rsidR="00DF5220">
        <w:br/>
      </w:r>
      <w:r>
        <w:t xml:space="preserve"> Since the income statement is prepared on accrual basis in which revenue is recognized when earned and not when received therefore net income does not represent the net cash flow from operating activities and it is necessary to adjust earnings before interest and tax (EBIT) for those items which effect net income although no actual cash is paid or received against them</w:t>
      </w:r>
      <w:r w:rsidR="00DF5220">
        <w:t>.</w:t>
      </w:r>
      <w:r w:rsidR="00DF5220">
        <w:br/>
      </w:r>
      <w:r w:rsidR="00DF5220">
        <w:br/>
      </w:r>
      <w:r w:rsidR="00DF5220">
        <w:br/>
      </w:r>
    </w:p>
    <w:p w:rsidR="008D10A6" w:rsidRDefault="008D10A6" w:rsidP="008D10A6"/>
    <w:p w:rsidR="008D10A6" w:rsidRDefault="008D10A6" w:rsidP="008D10A6">
      <w:r>
        <w:t>Formula</w:t>
      </w:r>
    </w:p>
    <w:p w:rsidR="008D10A6" w:rsidRDefault="008D10A6" w:rsidP="008D10A6"/>
    <w:p w:rsidR="008D10A6" w:rsidRDefault="008D10A6" w:rsidP="008D10A6">
      <w:r>
        <w:t>The following is the indirect method formula to calculate net cash flow from operating activities:</w:t>
      </w:r>
    </w:p>
    <w:p w:rsidR="008D10A6" w:rsidRDefault="008D10A6" w:rsidP="008D10A6"/>
    <w:p w:rsidR="008D10A6" w:rsidRDefault="008D10A6" w:rsidP="008D10A6">
      <w:r>
        <w:t xml:space="preserve">Cash Flows from Operating Activities: </w:t>
      </w:r>
    </w:p>
    <w:p w:rsidR="008D10A6" w:rsidRDefault="008D10A6" w:rsidP="008D10A6">
      <w:r>
        <w:t xml:space="preserve"> Net Income </w:t>
      </w:r>
    </w:p>
    <w:p w:rsidR="008D10A6" w:rsidRDefault="008D10A6" w:rsidP="008D10A6">
      <w:r>
        <w:t xml:space="preserve">+ Non-Cash Expenses: </w:t>
      </w:r>
    </w:p>
    <w:p w:rsidR="008D10A6" w:rsidRDefault="008D10A6" w:rsidP="008D10A6">
      <w:r>
        <w:t xml:space="preserve"> (Depreciation, Depletion &amp; Amortization Expense) </w:t>
      </w:r>
    </w:p>
    <w:p w:rsidR="008D10A6" w:rsidRDefault="008D10A6" w:rsidP="008D10A6">
      <w:r>
        <w:t xml:space="preserve">+ Non-Operating Losses: </w:t>
      </w:r>
    </w:p>
    <w:p w:rsidR="008D10A6" w:rsidRDefault="008D10A6" w:rsidP="008D10A6">
      <w:r>
        <w:t xml:space="preserve"> (Loss on Sale of Non-Current Assets) </w:t>
      </w:r>
    </w:p>
    <w:p w:rsidR="008D10A6" w:rsidRDefault="008D10A6" w:rsidP="008D10A6">
      <w:r>
        <w:t xml:space="preserve">− Non-Operating Gains: </w:t>
      </w:r>
    </w:p>
    <w:p w:rsidR="008D10A6" w:rsidRDefault="008D10A6" w:rsidP="008D10A6">
      <w:r>
        <w:t xml:space="preserve"> (Gain on Sale of Non-Current Assets) </w:t>
      </w:r>
    </w:p>
    <w:p w:rsidR="008D10A6" w:rsidRDefault="008D10A6" w:rsidP="008D10A6">
      <w:r>
        <w:t xml:space="preserve">+ Decrease in Current Assets: </w:t>
      </w:r>
    </w:p>
    <w:p w:rsidR="008D10A6" w:rsidRDefault="008D10A6" w:rsidP="008D10A6">
      <w:r>
        <w:t xml:space="preserve"> </w:t>
      </w:r>
      <w:proofErr w:type="gramStart"/>
      <w:r>
        <w:t>(Accounts Receivable, Prepaid Expenses, Inventory etc</w:t>
      </w:r>
      <w:r w:rsidR="00DF5220">
        <w:t>.</w:t>
      </w:r>
      <w:r w:rsidR="00DF5220">
        <w:br/>
      </w:r>
      <w:r w:rsidR="00DF5220">
        <w:lastRenderedPageBreak/>
        <w:br/>
      </w:r>
      <w:r w:rsidR="00DF5220">
        <w:br/>
      </w:r>
      <w:r>
        <w:t>)</w:t>
      </w:r>
      <w:proofErr w:type="gramEnd"/>
      <w:r>
        <w:t xml:space="preserve"> </w:t>
      </w:r>
    </w:p>
    <w:p w:rsidR="008D10A6" w:rsidRDefault="008D10A6" w:rsidP="008D10A6">
      <w:r>
        <w:t xml:space="preserve">− Increase in Current Assets </w:t>
      </w:r>
    </w:p>
    <w:p w:rsidR="008D10A6" w:rsidRDefault="008D10A6" w:rsidP="008D10A6">
      <w:r>
        <w:t xml:space="preserve">+ Increase in Current Liabilities: </w:t>
      </w:r>
    </w:p>
    <w:p w:rsidR="008D10A6" w:rsidRDefault="008D10A6" w:rsidP="008D10A6">
      <w:r>
        <w:t xml:space="preserve"> (Accounts </w:t>
      </w:r>
      <w:proofErr w:type="gramStart"/>
      <w:r>
        <w:t>Payable,</w:t>
      </w:r>
      <w:proofErr w:type="gramEnd"/>
      <w:r>
        <w:t xml:space="preserve"> Accrued Liabilities, Income Tax Payable etc</w:t>
      </w:r>
      <w:r w:rsidR="00DF5220">
        <w:t>.</w:t>
      </w:r>
      <w:r w:rsidR="00DF5220">
        <w:br/>
      </w:r>
      <w:r w:rsidR="00DF5220">
        <w:br/>
      </w:r>
      <w:r w:rsidR="00DF5220">
        <w:br/>
      </w:r>
      <w:r>
        <w:t xml:space="preserve">) </w:t>
      </w:r>
    </w:p>
    <w:p w:rsidR="008D10A6" w:rsidRDefault="008D10A6" w:rsidP="008D10A6">
      <w:r>
        <w:t xml:space="preserve">− Decrease in Current Liabilities </w:t>
      </w:r>
    </w:p>
    <w:p w:rsidR="008D10A6" w:rsidRDefault="008D10A6" w:rsidP="008D10A6">
      <w:r>
        <w:t xml:space="preserve">= Net Cash Flow from Operating Activities </w:t>
      </w:r>
    </w:p>
    <w:p w:rsidR="008D10A6" w:rsidRDefault="008D10A6" w:rsidP="008D10A6"/>
    <w:p w:rsidR="008D10A6" w:rsidRDefault="008D10A6" w:rsidP="008D10A6">
      <w:r>
        <w:t>The following example shows the format of the cash flows from operating activities section of cash flows statement prepared using indirect method:</w:t>
      </w:r>
    </w:p>
    <w:p w:rsidR="008D10A6" w:rsidRDefault="008D10A6" w:rsidP="008D10A6">
      <w:r>
        <w:t xml:space="preserve"> </w:t>
      </w:r>
    </w:p>
    <w:p w:rsidR="008D10A6" w:rsidRDefault="008D10A6" w:rsidP="008D10A6">
      <w:r>
        <w:t>Example</w:t>
      </w:r>
    </w:p>
    <w:p w:rsidR="008D10A6" w:rsidRDefault="008D10A6" w:rsidP="008D10A6"/>
    <w:p w:rsidR="00DC7CEE" w:rsidRDefault="008D10A6" w:rsidP="008D10A6">
      <w:r>
        <w:t>Use the following information to calculate net cash flow from operating activities using indirect method:</w:t>
      </w:r>
    </w:p>
    <w:p w:rsidR="005C2FFA" w:rsidRDefault="005C2FFA" w:rsidP="008D10A6"/>
    <w:p w:rsidR="005C2FFA" w:rsidRDefault="005C2FFA" w:rsidP="008D10A6"/>
    <w:tbl>
      <w:tblPr>
        <w:tblW w:w="7900" w:type="dxa"/>
        <w:tblInd w:w="-197" w:type="dxa"/>
        <w:tblCellMar>
          <w:left w:w="28" w:type="dxa"/>
          <w:right w:w="28" w:type="dxa"/>
        </w:tblCellMar>
        <w:tblLook w:val="04A0" w:firstRow="1" w:lastRow="0" w:firstColumn="1" w:lastColumn="0" w:noHBand="0" w:noVBand="1"/>
      </w:tblPr>
      <w:tblGrid>
        <w:gridCol w:w="4100"/>
        <w:gridCol w:w="2920"/>
        <w:gridCol w:w="880"/>
      </w:tblGrid>
      <w:tr w:rsidR="000B73A8" w:rsidRPr="000B73A8" w:rsidTr="000B73A8">
        <w:trPr>
          <w:trHeight w:val="210"/>
        </w:trPr>
        <w:tc>
          <w:tcPr>
            <w:tcW w:w="4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Net Income</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淨利</w:t>
            </w:r>
            <w:r w:rsidRPr="000B73A8">
              <w:rPr>
                <w:rFonts w:ascii="Verdana" w:eastAsia="細明體" w:hAnsi="Verdana" w:cs="新細明體"/>
                <w:color w:val="494949"/>
                <w:kern w:val="0"/>
                <w:sz w:val="16"/>
                <w:szCs w:val="16"/>
              </w:rPr>
              <w:t xml:space="preserve">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Depreciation Expense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折舊費用</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Accounts Receivable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應收賬款增加</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4,400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Prepaid Rent</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增加的預付租金</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Decrease in Prepaid Insurance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減少預付保險費</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1,300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Accounts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增加應付帳款</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14,000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Wages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增加應付工資</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Decrease in Income Tax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減少應交所得稅</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Gain on Sale of Equipment</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獲得的出售設備的</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1,800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noWrap/>
            <w:vAlign w:val="center"/>
            <w:hideMark/>
          </w:tcPr>
          <w:p w:rsidR="000B73A8" w:rsidRPr="000B73A8" w:rsidRDefault="000B73A8" w:rsidP="000B73A8">
            <w:pPr>
              <w:widowControl/>
              <w:ind w:firstLineChars="100" w:firstLine="160"/>
              <w:rPr>
                <w:rFonts w:ascii="Verdana" w:eastAsia="新細明體" w:hAnsi="Verdana" w:cs="新細明體"/>
                <w:b/>
                <w:bCs/>
                <w:color w:val="494949"/>
                <w:kern w:val="0"/>
                <w:sz w:val="16"/>
                <w:szCs w:val="16"/>
              </w:rPr>
            </w:pPr>
            <w:r w:rsidRPr="000B73A8">
              <w:rPr>
                <w:rFonts w:ascii="Verdana" w:eastAsia="新細明體" w:hAnsi="Verdana" w:cs="新細明體"/>
                <w:b/>
                <w:bCs/>
                <w:color w:val="494949"/>
                <w:kern w:val="0"/>
                <w:sz w:val="16"/>
                <w:szCs w:val="16"/>
              </w:rPr>
              <w:t>Solution:</w:t>
            </w:r>
          </w:p>
        </w:tc>
        <w:tc>
          <w:tcPr>
            <w:tcW w:w="2920" w:type="dxa"/>
            <w:tcBorders>
              <w:top w:val="nil"/>
              <w:left w:val="nil"/>
              <w:bottom w:val="single" w:sz="4" w:space="0" w:color="auto"/>
              <w:right w:val="single" w:sz="4" w:space="0" w:color="auto"/>
            </w:tcBorders>
            <w:shd w:val="clear" w:color="auto" w:fill="auto"/>
            <w:noWrap/>
            <w:vAlign w:val="center"/>
            <w:hideMark/>
          </w:tcPr>
          <w:p w:rsidR="000B73A8" w:rsidRPr="000B73A8" w:rsidRDefault="000B73A8" w:rsidP="000B73A8">
            <w:pPr>
              <w:widowControl/>
              <w:ind w:firstLineChars="100" w:firstLine="160"/>
              <w:rPr>
                <w:rFonts w:ascii="細明體" w:eastAsia="細明體" w:hAnsi="細明體" w:cs="新細明體"/>
                <w:b/>
                <w:bCs/>
                <w:color w:val="494949"/>
                <w:kern w:val="0"/>
                <w:sz w:val="16"/>
                <w:szCs w:val="16"/>
              </w:rPr>
            </w:pPr>
            <w:r w:rsidRPr="000B73A8">
              <w:rPr>
                <w:rFonts w:ascii="細明體" w:eastAsia="細明體" w:hAnsi="細明體" w:cs="新細明體" w:hint="eastAsia"/>
                <w:b/>
                <w:bCs/>
                <w:color w:val="494949"/>
                <w:kern w:val="0"/>
                <w:sz w:val="16"/>
                <w:szCs w:val="16"/>
              </w:rPr>
              <w:t>解決方案：</w:t>
            </w:r>
            <w:r w:rsidRPr="000B73A8">
              <w:rPr>
                <w:rFonts w:ascii="Verdana" w:eastAsia="細明體" w:hAnsi="Verdana" w:cs="新細明體"/>
                <w:b/>
                <w:bCs/>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noWrap/>
            <w:vAlign w:val="bottom"/>
            <w:hideMark/>
          </w:tcPr>
          <w:p w:rsidR="000B73A8" w:rsidRPr="000B73A8" w:rsidRDefault="000B73A8" w:rsidP="000B73A8">
            <w:pPr>
              <w:widowControl/>
              <w:rPr>
                <w:rFonts w:ascii="新細明體" w:eastAsia="新細明體" w:hAnsi="新細明體" w:cs="新細明體"/>
                <w:color w:val="000000"/>
                <w:kern w:val="0"/>
                <w:sz w:val="16"/>
                <w:szCs w:val="16"/>
              </w:rPr>
            </w:pPr>
            <w:r w:rsidRPr="000B73A8">
              <w:rPr>
                <w:rFonts w:ascii="新細明體" w:eastAsia="新細明體" w:hAnsi="新細明體" w:cs="新細明體" w:hint="eastAsia"/>
                <w:color w:val="000000"/>
                <w:kern w:val="0"/>
                <w:sz w:val="16"/>
                <w:szCs w:val="16"/>
              </w:rPr>
              <w:t xml:space="preserve">　</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Cash Flows from Operating Activities:</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經營活動產生的現金流量：</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 xml:space="preserve">　</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Net Income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淨利</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Depreciation Expense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折舊費用</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Gain on Sale of Equipment</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獲得的出售設備的</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−1,800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Accounts Receivable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應收賬款增加</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−4,400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Prepaid Rent</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增加的預付租金</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Decrease in Prepaid Insurance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減少預付保險費</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1,300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Accounts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增加應付帳款</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14,000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Increase in Wages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增加應付工資</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1,000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Decrease in Income Tax Payable</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減少應交所得稅</w:t>
            </w:r>
            <w:r w:rsidRPr="000B73A8">
              <w:rPr>
                <w:rFonts w:ascii="Verdana" w:eastAsia="細明體" w:hAnsi="Verdana" w:cs="新細明體"/>
                <w:color w:val="494949"/>
                <w:kern w:val="0"/>
                <w:sz w:val="16"/>
                <w:szCs w:val="16"/>
              </w:rPr>
              <w:t xml:space="preserve"> </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−700</w:t>
            </w:r>
          </w:p>
        </w:tc>
      </w:tr>
      <w:tr w:rsidR="000B73A8" w:rsidRPr="000B73A8" w:rsidTr="000B73A8">
        <w:trPr>
          <w:trHeight w:val="210"/>
        </w:trPr>
        <w:tc>
          <w:tcPr>
            <w:tcW w:w="4100" w:type="dxa"/>
            <w:tcBorders>
              <w:top w:val="nil"/>
              <w:left w:val="single" w:sz="4" w:space="0" w:color="auto"/>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lastRenderedPageBreak/>
              <w:t>Net Cash Flow from Operating Activities</w:t>
            </w:r>
          </w:p>
        </w:tc>
        <w:tc>
          <w:tcPr>
            <w:tcW w:w="292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ind w:firstLineChars="100" w:firstLine="160"/>
              <w:rPr>
                <w:rFonts w:ascii="細明體" w:eastAsia="細明體" w:hAnsi="細明體" w:cs="新細明體"/>
                <w:color w:val="494949"/>
                <w:kern w:val="0"/>
                <w:sz w:val="16"/>
                <w:szCs w:val="16"/>
              </w:rPr>
            </w:pPr>
            <w:r w:rsidRPr="000B73A8">
              <w:rPr>
                <w:rFonts w:ascii="細明體" w:eastAsia="細明體" w:hAnsi="細明體" w:cs="新細明體" w:hint="eastAsia"/>
                <w:color w:val="494949"/>
                <w:kern w:val="0"/>
                <w:sz w:val="16"/>
                <w:szCs w:val="16"/>
              </w:rPr>
              <w:t>經營活動產生的現金流量淨額</w:t>
            </w:r>
          </w:p>
        </w:tc>
        <w:tc>
          <w:tcPr>
            <w:tcW w:w="880" w:type="dxa"/>
            <w:tcBorders>
              <w:top w:val="nil"/>
              <w:left w:val="nil"/>
              <w:bottom w:val="single" w:sz="4" w:space="0" w:color="auto"/>
              <w:right w:val="single" w:sz="4" w:space="0" w:color="auto"/>
            </w:tcBorders>
            <w:shd w:val="clear" w:color="auto" w:fill="auto"/>
            <w:vAlign w:val="center"/>
            <w:hideMark/>
          </w:tcPr>
          <w:p w:rsidR="000B73A8" w:rsidRPr="000B73A8" w:rsidRDefault="000B73A8" w:rsidP="000B73A8">
            <w:pPr>
              <w:widowControl/>
              <w:jc w:val="right"/>
              <w:rPr>
                <w:rFonts w:ascii="Verdana" w:eastAsia="新細明體" w:hAnsi="Verdana" w:cs="新細明體"/>
                <w:color w:val="494949"/>
                <w:kern w:val="0"/>
                <w:sz w:val="16"/>
                <w:szCs w:val="16"/>
              </w:rPr>
            </w:pPr>
            <w:r w:rsidRPr="000B73A8">
              <w:rPr>
                <w:rFonts w:ascii="Verdana" w:eastAsia="新細明體" w:hAnsi="Verdana" w:cs="新細明體"/>
                <w:color w:val="494949"/>
                <w:kern w:val="0"/>
                <w:sz w:val="16"/>
                <w:szCs w:val="16"/>
              </w:rPr>
              <w:t>$10,400</w:t>
            </w:r>
          </w:p>
        </w:tc>
      </w:tr>
    </w:tbl>
    <w:p w:rsidR="005C2FFA" w:rsidRDefault="005C2FFA" w:rsidP="008D10A6">
      <w:bookmarkStart w:id="0" w:name="_GoBack"/>
      <w:bookmarkEnd w:id="0"/>
    </w:p>
    <w:sectPr w:rsidR="005C2FFA" w:rsidSect="0055040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B1" w:rsidRDefault="003136B1" w:rsidP="0055040A">
      <w:r>
        <w:separator/>
      </w:r>
    </w:p>
  </w:endnote>
  <w:endnote w:type="continuationSeparator" w:id="0">
    <w:p w:rsidR="003136B1" w:rsidRDefault="003136B1"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0B73A8" w:rsidRPr="000B73A8">
          <w:rPr>
            <w:noProof/>
            <w:lang w:val="zh-TW"/>
          </w:rPr>
          <w:t>2</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B1" w:rsidRDefault="003136B1" w:rsidP="0055040A">
      <w:r>
        <w:separator/>
      </w:r>
    </w:p>
  </w:footnote>
  <w:footnote w:type="continuationSeparator" w:id="0">
    <w:p w:rsidR="003136B1" w:rsidRDefault="003136B1"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0B73A8"/>
    <w:rsid w:val="001B0FC5"/>
    <w:rsid w:val="003136B1"/>
    <w:rsid w:val="0055040A"/>
    <w:rsid w:val="005C2FFA"/>
    <w:rsid w:val="0078540B"/>
    <w:rsid w:val="008D10A6"/>
    <w:rsid w:val="00DC7CEE"/>
    <w:rsid w:val="00DF5220"/>
    <w:rsid w:val="00E12B96"/>
    <w:rsid w:val="00FE3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398</Words>
  <Characters>2275</Characters>
  <Application>Microsoft Office Word</Application>
  <DocSecurity>0</DocSecurity>
  <Lines>18</Lines>
  <Paragraphs>5</Paragraphs>
  <ScaleCrop>false</ScaleCrop>
  <Company>Hewlett-Packard</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2014-11-02T14:21:00Z</dcterms:created>
  <dcterms:modified xsi:type="dcterms:W3CDTF">2014-11-02T14:40:00Z</dcterms:modified>
</cp:coreProperties>
</file>