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621" w:rsidRPr="002C1621" w:rsidRDefault="002C1621" w:rsidP="002C1621">
      <w:pPr>
        <w:widowControl/>
        <w:spacing w:before="100" w:beforeAutospacing="1" w:after="100" w:afterAutospacing="1"/>
        <w:rPr>
          <w:rFonts w:ascii="Times New Roman" w:eastAsia="Times New Roman" w:hAnsi="Times New Roman" w:cs="Times New Roman"/>
          <w:b/>
          <w:kern w:val="0"/>
          <w:szCs w:val="24"/>
        </w:rPr>
      </w:pPr>
      <w:r w:rsidRPr="002C1621">
        <w:rPr>
          <w:rFonts w:ascii="Times New Roman" w:eastAsia="Times New Roman" w:hAnsi="Times New Roman" w:cs="Times New Roman"/>
          <w:b/>
          <w:kern w:val="0"/>
          <w:szCs w:val="24"/>
        </w:rPr>
        <w:t xml:space="preserve">Accounting for uncollectible accounts receivable: </w:t>
      </w:r>
    </w:p>
    <w:p w:rsidR="002C1621" w:rsidRPr="002C1621" w:rsidRDefault="002C1621" w:rsidP="002C1621">
      <w:pPr>
        <w:widowControl/>
        <w:spacing w:before="100" w:beforeAutospacing="1" w:after="100" w:afterAutospacing="1"/>
        <w:rPr>
          <w:rFonts w:ascii="Times New Roman" w:eastAsia="Times New Roman" w:hAnsi="Times New Roman" w:cs="Times New Roman"/>
          <w:kern w:val="0"/>
          <w:szCs w:val="24"/>
        </w:rPr>
      </w:pPr>
      <w:r w:rsidRPr="002C1621">
        <w:rPr>
          <w:rFonts w:ascii="Times New Roman" w:eastAsia="Times New Roman" w:hAnsi="Times New Roman" w:cs="Times New Roman"/>
          <w:color w:val="FF0000"/>
          <w:kern w:val="0"/>
          <w:szCs w:val="24"/>
        </w:rPr>
        <w:t>When companies decide to sell products on credit, they usually do not expect to receive full payment from all customers</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They do expect, however, to receive enough cash from good customers to make up for the small number of customers whose accounts r</w:t>
      </w:r>
      <w:bookmarkStart w:id="0" w:name="_GoBack"/>
      <w:bookmarkEnd w:id="0"/>
      <w:r w:rsidRPr="002C1621">
        <w:rPr>
          <w:rFonts w:ascii="Times New Roman" w:eastAsia="Times New Roman" w:hAnsi="Times New Roman" w:cs="Times New Roman"/>
          <w:color w:val="FF0000"/>
          <w:kern w:val="0"/>
          <w:szCs w:val="24"/>
        </w:rPr>
        <w:t>eceivable will not be collected in cash</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Two primary purposes of accounting for uncollectible accounts receivable are to properly report in financial statements (1) the dollar amount expected to be collected from credit customers and (2) the cost of selling to some customers who will not pay</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kern w:val="0"/>
          <w:szCs w:val="24"/>
        </w:rPr>
        <w:t xml:space="preserve"> </w:t>
      </w:r>
      <w:r w:rsidRPr="002C1621">
        <w:rPr>
          <w:rFonts w:ascii="Times New Roman" w:eastAsia="Times New Roman" w:hAnsi="Times New Roman" w:cs="Times New Roman"/>
          <w:kern w:val="0"/>
          <w:szCs w:val="24"/>
        </w:rPr>
        <w:br/>
        <w:t xml:space="preserve">  </w:t>
      </w:r>
    </w:p>
    <w:p w:rsidR="002C1621" w:rsidRPr="002C1621" w:rsidRDefault="002C1621" w:rsidP="002C1621">
      <w:pPr>
        <w:widowControl/>
        <w:ind w:left="720"/>
        <w:rPr>
          <w:rFonts w:ascii="Times New Roman" w:eastAsia="Times New Roman" w:hAnsi="Times New Roman" w:cs="Times New Roman"/>
          <w:kern w:val="0"/>
          <w:szCs w:val="24"/>
        </w:rPr>
      </w:pPr>
      <w:r w:rsidRPr="002C1621">
        <w:rPr>
          <w:rFonts w:ascii="Times New Roman" w:eastAsia="Times New Roman" w:hAnsi="Times New Roman" w:cs="Times New Roman"/>
          <w:kern w:val="0"/>
          <w:szCs w:val="24"/>
        </w:rPr>
        <w:t xml:space="preserve">Recording uncollectible accounts receivable and the uncollectible accounts expense </w:t>
      </w:r>
    </w:p>
    <w:p w:rsidR="002C1621" w:rsidRPr="002C1621" w:rsidRDefault="002C1621" w:rsidP="002C1621">
      <w:pPr>
        <w:widowControl/>
        <w:spacing w:before="100" w:beforeAutospacing="1" w:after="100" w:afterAutospacing="1"/>
        <w:ind w:left="720"/>
        <w:rPr>
          <w:rFonts w:ascii="Times New Roman" w:eastAsia="Times New Roman" w:hAnsi="Times New Roman" w:cs="Times New Roman"/>
          <w:kern w:val="0"/>
          <w:szCs w:val="24"/>
        </w:rPr>
      </w:pPr>
      <w:r w:rsidRPr="002C1621">
        <w:rPr>
          <w:rFonts w:ascii="Times New Roman" w:eastAsia="Times New Roman" w:hAnsi="Times New Roman" w:cs="Times New Roman"/>
          <w:color w:val="FF0000"/>
          <w:kern w:val="0"/>
          <w:szCs w:val="24"/>
        </w:rPr>
        <w:t>At the time credit sales are made, the specific customers who will not pay are unknown</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If such customers are known, products would not be sold to them</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On the other hand, companies do know that all customers will not pay</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Thus, companies who sell on credit must either estimate the dollar amount of accounts receivable that will not be collected or they must wait until the customers who will not pay can be clearly identified</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Because it can take several months or even years to identify specific customers who will not pay, it is common practice for companies to estimate uncollectible accounts receivable in the same time period in which they make credit sales</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kern w:val="0"/>
          <w:szCs w:val="24"/>
        </w:rPr>
        <w:t xml:space="preserve"> </w:t>
      </w:r>
    </w:p>
    <w:p w:rsidR="002C1621" w:rsidRPr="002C1621" w:rsidRDefault="002C1621" w:rsidP="002C1621">
      <w:pPr>
        <w:widowControl/>
        <w:spacing w:before="100" w:beforeAutospacing="1" w:after="100" w:afterAutospacing="1"/>
        <w:ind w:left="720"/>
        <w:rPr>
          <w:rFonts w:ascii="Times New Roman" w:eastAsia="Times New Roman" w:hAnsi="Times New Roman" w:cs="Times New Roman"/>
          <w:kern w:val="0"/>
          <w:szCs w:val="24"/>
        </w:rPr>
      </w:pPr>
      <w:r w:rsidRPr="002C1621">
        <w:rPr>
          <w:rFonts w:ascii="Times New Roman" w:eastAsia="Times New Roman" w:hAnsi="Times New Roman" w:cs="Times New Roman"/>
          <w:color w:val="FF0000"/>
          <w:kern w:val="0"/>
          <w:szCs w:val="24"/>
        </w:rPr>
        <w:lastRenderedPageBreak/>
        <w:t>When credit sales are made, the effect is an increase in resources (assets) and an increase in sources of resources (stockholders’ equity)</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The specific accounts affected are accounts receivable (debited) and sales (credited)</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When a company estimates that some of its accounts receivable are uncollectible, in effect it is saying some of its accounts receivable are not resources</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Similarly, it is saying its sources of resources are too high because some credit sales will never result in resources, specifically cash</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Remember, accounts receivable are not valuable if they do not eventually result in cash</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In order to properly account for uncollectible accounts receivable, companies reduce their resources and sources of resources for estimated uncollectible accounts receivable</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For example, if a company with $50,000 of January credit sales estimates that 1</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5% of such sales will not be </w:t>
      </w:r>
      <w:proofErr w:type="gramStart"/>
      <w:r w:rsidRPr="002C1621">
        <w:rPr>
          <w:rFonts w:ascii="Times New Roman" w:eastAsia="Times New Roman" w:hAnsi="Times New Roman" w:cs="Times New Roman"/>
          <w:color w:val="FF0000"/>
          <w:kern w:val="0"/>
          <w:szCs w:val="24"/>
        </w:rPr>
        <w:t>collected,</w:t>
      </w:r>
      <w:proofErr w:type="gramEnd"/>
      <w:r w:rsidRPr="002C1621">
        <w:rPr>
          <w:rFonts w:ascii="Times New Roman" w:eastAsia="Times New Roman" w:hAnsi="Times New Roman" w:cs="Times New Roman"/>
          <w:color w:val="FF0000"/>
          <w:kern w:val="0"/>
          <w:szCs w:val="24"/>
        </w:rPr>
        <w:t xml:space="preserve"> it would be affected as follows</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p>
    <w:tbl>
      <w:tblPr>
        <w:tblStyle w:val="TableNormal"/>
        <w:tblW w:w="10500" w:type="dxa"/>
        <w:jc w:val="center"/>
        <w:tblCellSpacing w:w="0" w:type="dxa"/>
        <w:tblInd w:w="0" w:type="dxa"/>
        <w:shd w:val="clear" w:color="auto" w:fill="CCFFFF"/>
        <w:tblCellMar>
          <w:left w:w="0" w:type="dxa"/>
          <w:right w:w="0" w:type="dxa"/>
        </w:tblCellMar>
        <w:tblLook w:val="04A0" w:firstRow="1" w:lastRow="0" w:firstColumn="1" w:lastColumn="0" w:noHBand="0" w:noVBand="1"/>
      </w:tblPr>
      <w:tblGrid>
        <w:gridCol w:w="2310"/>
        <w:gridCol w:w="420"/>
        <w:gridCol w:w="2310"/>
        <w:gridCol w:w="420"/>
        <w:gridCol w:w="2310"/>
        <w:gridCol w:w="420"/>
        <w:gridCol w:w="2310"/>
      </w:tblGrid>
      <w:tr w:rsidR="002C1621" w:rsidRPr="002C1621" w:rsidTr="002C1621">
        <w:trPr>
          <w:tblCellSpacing w:w="0" w:type="dxa"/>
          <w:jc w:val="center"/>
        </w:trPr>
        <w:tc>
          <w:tcPr>
            <w:tcW w:w="1100" w:type="pct"/>
            <w:shd w:val="clear" w:color="auto" w:fill="CCFFFF"/>
            <w:vAlign w:val="bottom"/>
            <w:hideMark/>
          </w:tcPr>
          <w:p w:rsidR="002C1621" w:rsidRPr="002C1621" w:rsidRDefault="002C1621" w:rsidP="002C1621">
            <w:pPr>
              <w:widowControl/>
              <w:jc w:val="center"/>
              <w:rPr>
                <w:szCs w:val="24"/>
              </w:rPr>
            </w:pPr>
            <w:r w:rsidRPr="002C1621">
              <w:rPr>
                <w:szCs w:val="24"/>
              </w:rPr>
              <w:t xml:space="preserve">Total </w:t>
            </w:r>
            <w:r w:rsidRPr="002C1621">
              <w:rPr>
                <w:szCs w:val="24"/>
              </w:rPr>
              <w:br/>
            </w:r>
            <w:r w:rsidRPr="002C1621">
              <w:rPr>
                <w:szCs w:val="24"/>
                <w:u w:val="single"/>
              </w:rPr>
              <w:t>Resources</w:t>
            </w:r>
            <w:r w:rsidRPr="002C1621">
              <w:rPr>
                <w:szCs w:val="24"/>
              </w:rPr>
              <w:t xml:space="preserve"> </w:t>
            </w:r>
          </w:p>
        </w:tc>
        <w:tc>
          <w:tcPr>
            <w:tcW w:w="200" w:type="pct"/>
            <w:shd w:val="clear" w:color="auto" w:fill="CCFFFF"/>
            <w:vAlign w:val="bottom"/>
            <w:hideMark/>
          </w:tcPr>
          <w:p w:rsidR="002C1621" w:rsidRPr="002C1621" w:rsidRDefault="002C1621" w:rsidP="002C1621">
            <w:pPr>
              <w:widowControl/>
              <w:jc w:val="center"/>
              <w:rPr>
                <w:szCs w:val="24"/>
              </w:rPr>
            </w:pPr>
            <w:r w:rsidRPr="002C1621">
              <w:rPr>
                <w:szCs w:val="24"/>
              </w:rPr>
              <w:t xml:space="preserve">= </w:t>
            </w:r>
          </w:p>
        </w:tc>
        <w:tc>
          <w:tcPr>
            <w:tcW w:w="1100" w:type="pct"/>
            <w:shd w:val="clear" w:color="auto" w:fill="CCFFFF"/>
            <w:vAlign w:val="bottom"/>
            <w:hideMark/>
          </w:tcPr>
          <w:p w:rsidR="002C1621" w:rsidRPr="002C1621" w:rsidRDefault="002C1621" w:rsidP="002C1621">
            <w:pPr>
              <w:widowControl/>
              <w:jc w:val="center"/>
              <w:rPr>
                <w:szCs w:val="24"/>
              </w:rPr>
            </w:pPr>
            <w:r w:rsidRPr="002C1621">
              <w:rPr>
                <w:szCs w:val="24"/>
              </w:rPr>
              <w:t xml:space="preserve">Sources of </w:t>
            </w:r>
            <w:r w:rsidRPr="002C1621">
              <w:rPr>
                <w:szCs w:val="24"/>
              </w:rPr>
              <w:br/>
              <w:t xml:space="preserve">Borrowed </w:t>
            </w:r>
            <w:r w:rsidRPr="002C1621">
              <w:rPr>
                <w:szCs w:val="24"/>
              </w:rPr>
              <w:br/>
            </w:r>
            <w:r w:rsidRPr="002C1621">
              <w:rPr>
                <w:szCs w:val="24"/>
                <w:u w:val="single"/>
              </w:rPr>
              <w:t>Resources</w:t>
            </w:r>
            <w:r w:rsidRPr="002C1621">
              <w:rPr>
                <w:szCs w:val="24"/>
              </w:rPr>
              <w:t xml:space="preserve"> </w:t>
            </w:r>
          </w:p>
        </w:tc>
        <w:tc>
          <w:tcPr>
            <w:tcW w:w="200" w:type="pct"/>
            <w:shd w:val="clear" w:color="auto" w:fill="CCFFFF"/>
            <w:vAlign w:val="bottom"/>
            <w:hideMark/>
          </w:tcPr>
          <w:p w:rsidR="002C1621" w:rsidRPr="002C1621" w:rsidRDefault="002C1621" w:rsidP="002C1621">
            <w:pPr>
              <w:widowControl/>
              <w:jc w:val="center"/>
              <w:rPr>
                <w:szCs w:val="24"/>
              </w:rPr>
            </w:pPr>
            <w:r w:rsidRPr="002C1621">
              <w:rPr>
                <w:szCs w:val="24"/>
              </w:rPr>
              <w:t xml:space="preserve">+ </w:t>
            </w:r>
          </w:p>
        </w:tc>
        <w:tc>
          <w:tcPr>
            <w:tcW w:w="1100" w:type="pct"/>
            <w:shd w:val="clear" w:color="auto" w:fill="CCFFFF"/>
            <w:vAlign w:val="bottom"/>
            <w:hideMark/>
          </w:tcPr>
          <w:p w:rsidR="002C1621" w:rsidRPr="002C1621" w:rsidRDefault="002C1621" w:rsidP="002C1621">
            <w:pPr>
              <w:widowControl/>
              <w:jc w:val="center"/>
              <w:rPr>
                <w:szCs w:val="24"/>
              </w:rPr>
            </w:pPr>
            <w:r w:rsidRPr="002C1621">
              <w:rPr>
                <w:szCs w:val="24"/>
              </w:rPr>
              <w:t xml:space="preserve">Sources of </w:t>
            </w:r>
            <w:r w:rsidRPr="002C1621">
              <w:rPr>
                <w:szCs w:val="24"/>
              </w:rPr>
              <w:br/>
              <w:t xml:space="preserve">Owner Invested </w:t>
            </w:r>
            <w:r w:rsidRPr="002C1621">
              <w:rPr>
                <w:szCs w:val="24"/>
              </w:rPr>
              <w:br/>
            </w:r>
            <w:r w:rsidRPr="002C1621">
              <w:rPr>
                <w:szCs w:val="24"/>
                <w:u w:val="single"/>
              </w:rPr>
              <w:t>Resources</w:t>
            </w:r>
            <w:r w:rsidRPr="002C1621">
              <w:rPr>
                <w:szCs w:val="24"/>
              </w:rPr>
              <w:t xml:space="preserve"> </w:t>
            </w:r>
          </w:p>
        </w:tc>
        <w:tc>
          <w:tcPr>
            <w:tcW w:w="200" w:type="pct"/>
            <w:shd w:val="clear" w:color="auto" w:fill="CCFFFF"/>
            <w:vAlign w:val="bottom"/>
            <w:hideMark/>
          </w:tcPr>
          <w:p w:rsidR="002C1621" w:rsidRPr="002C1621" w:rsidRDefault="002C1621" w:rsidP="002C1621">
            <w:pPr>
              <w:widowControl/>
              <w:jc w:val="center"/>
              <w:rPr>
                <w:szCs w:val="24"/>
              </w:rPr>
            </w:pPr>
            <w:r w:rsidRPr="002C1621">
              <w:rPr>
                <w:szCs w:val="24"/>
              </w:rPr>
              <w:t xml:space="preserve">+ </w:t>
            </w:r>
          </w:p>
        </w:tc>
        <w:tc>
          <w:tcPr>
            <w:tcW w:w="1100" w:type="pct"/>
            <w:shd w:val="clear" w:color="auto" w:fill="CCFFFF"/>
            <w:vAlign w:val="bottom"/>
            <w:hideMark/>
          </w:tcPr>
          <w:p w:rsidR="002C1621" w:rsidRPr="002C1621" w:rsidRDefault="002C1621" w:rsidP="002C1621">
            <w:pPr>
              <w:widowControl/>
              <w:jc w:val="center"/>
              <w:rPr>
                <w:szCs w:val="24"/>
              </w:rPr>
            </w:pPr>
            <w:r w:rsidRPr="002C1621">
              <w:rPr>
                <w:szCs w:val="24"/>
              </w:rPr>
              <w:t xml:space="preserve">Sources of </w:t>
            </w:r>
            <w:r w:rsidRPr="002C1621">
              <w:rPr>
                <w:szCs w:val="24"/>
              </w:rPr>
              <w:br/>
              <w:t xml:space="preserve">Management Generated </w:t>
            </w:r>
            <w:r w:rsidRPr="002C1621">
              <w:rPr>
                <w:szCs w:val="24"/>
              </w:rPr>
              <w:br/>
            </w:r>
            <w:r w:rsidRPr="002C1621">
              <w:rPr>
                <w:szCs w:val="24"/>
                <w:u w:val="single"/>
              </w:rPr>
              <w:t>Resources</w:t>
            </w:r>
            <w:r w:rsidRPr="002C1621">
              <w:rPr>
                <w:szCs w:val="24"/>
              </w:rPr>
              <w:t xml:space="preserve"> </w:t>
            </w:r>
          </w:p>
        </w:tc>
      </w:tr>
      <w:tr w:rsidR="002C1621" w:rsidRPr="002C1621" w:rsidTr="002C1621">
        <w:trPr>
          <w:tblCellSpacing w:w="0" w:type="dxa"/>
          <w:jc w:val="center"/>
        </w:trPr>
        <w:tc>
          <w:tcPr>
            <w:tcW w:w="1100" w:type="pct"/>
            <w:shd w:val="clear" w:color="auto" w:fill="CCFFFF"/>
            <w:vAlign w:val="bottom"/>
            <w:hideMark/>
          </w:tcPr>
          <w:p w:rsidR="002C1621" w:rsidRPr="002C1621" w:rsidRDefault="002C1621" w:rsidP="002C1621">
            <w:pPr>
              <w:widowControl/>
              <w:jc w:val="center"/>
              <w:rPr>
                <w:szCs w:val="24"/>
              </w:rPr>
            </w:pPr>
            <w:r w:rsidRPr="002C1621">
              <w:rPr>
                <w:szCs w:val="24"/>
                <w:u w:val="single"/>
              </w:rPr>
              <w:t>Assets</w:t>
            </w:r>
            <w:r w:rsidRPr="002C1621">
              <w:rPr>
                <w:szCs w:val="24"/>
              </w:rPr>
              <w:t xml:space="preserve"> </w:t>
            </w:r>
          </w:p>
        </w:tc>
        <w:tc>
          <w:tcPr>
            <w:tcW w:w="200" w:type="pct"/>
            <w:shd w:val="clear" w:color="auto" w:fill="CCFFFF"/>
            <w:vAlign w:val="bottom"/>
            <w:hideMark/>
          </w:tcPr>
          <w:p w:rsidR="002C1621" w:rsidRPr="002C1621" w:rsidRDefault="002C1621" w:rsidP="002C1621">
            <w:pPr>
              <w:widowControl/>
              <w:jc w:val="center"/>
              <w:rPr>
                <w:szCs w:val="24"/>
              </w:rPr>
            </w:pPr>
            <w:r w:rsidRPr="002C1621">
              <w:rPr>
                <w:szCs w:val="24"/>
              </w:rPr>
              <w:t xml:space="preserve">= </w:t>
            </w:r>
          </w:p>
        </w:tc>
        <w:tc>
          <w:tcPr>
            <w:tcW w:w="1100" w:type="pct"/>
            <w:shd w:val="clear" w:color="auto" w:fill="CCFFFF"/>
            <w:vAlign w:val="bottom"/>
            <w:hideMark/>
          </w:tcPr>
          <w:p w:rsidR="002C1621" w:rsidRPr="002C1621" w:rsidRDefault="002C1621" w:rsidP="002C1621">
            <w:pPr>
              <w:widowControl/>
              <w:jc w:val="center"/>
              <w:rPr>
                <w:szCs w:val="24"/>
              </w:rPr>
            </w:pPr>
            <w:r w:rsidRPr="002C1621">
              <w:rPr>
                <w:szCs w:val="24"/>
                <w:u w:val="single"/>
              </w:rPr>
              <w:t>Liabilities</w:t>
            </w:r>
            <w:r w:rsidRPr="002C1621">
              <w:rPr>
                <w:szCs w:val="24"/>
              </w:rPr>
              <w:t xml:space="preserve"> </w:t>
            </w:r>
          </w:p>
        </w:tc>
        <w:tc>
          <w:tcPr>
            <w:tcW w:w="200" w:type="pct"/>
            <w:shd w:val="clear" w:color="auto" w:fill="CCFFFF"/>
            <w:vAlign w:val="bottom"/>
            <w:hideMark/>
          </w:tcPr>
          <w:p w:rsidR="002C1621" w:rsidRPr="002C1621" w:rsidRDefault="002C1621" w:rsidP="002C1621">
            <w:pPr>
              <w:widowControl/>
              <w:jc w:val="center"/>
              <w:rPr>
                <w:szCs w:val="24"/>
              </w:rPr>
            </w:pPr>
            <w:r w:rsidRPr="002C1621">
              <w:rPr>
                <w:szCs w:val="24"/>
              </w:rPr>
              <w:t xml:space="preserve">+ </w:t>
            </w:r>
          </w:p>
        </w:tc>
        <w:tc>
          <w:tcPr>
            <w:tcW w:w="2400" w:type="pct"/>
            <w:gridSpan w:val="3"/>
            <w:shd w:val="clear" w:color="auto" w:fill="CCFFFF"/>
            <w:vAlign w:val="bottom"/>
            <w:hideMark/>
          </w:tcPr>
          <w:p w:rsidR="002C1621" w:rsidRPr="002C1621" w:rsidRDefault="002C1621" w:rsidP="002C1621">
            <w:pPr>
              <w:widowControl/>
              <w:jc w:val="center"/>
              <w:rPr>
                <w:szCs w:val="24"/>
              </w:rPr>
            </w:pPr>
            <w:r w:rsidRPr="002C1621">
              <w:rPr>
                <w:szCs w:val="24"/>
                <w:u w:val="single"/>
              </w:rPr>
              <w:t>Stockholders' Equity</w:t>
            </w:r>
            <w:r w:rsidRPr="002C1621">
              <w:rPr>
                <w:szCs w:val="24"/>
              </w:rPr>
              <w:t xml:space="preserve"> </w:t>
            </w:r>
          </w:p>
        </w:tc>
      </w:tr>
      <w:tr w:rsidR="002C1621" w:rsidRPr="002C1621" w:rsidTr="002C1621">
        <w:trPr>
          <w:tblCellSpacing w:w="0" w:type="dxa"/>
          <w:jc w:val="center"/>
        </w:trPr>
        <w:tc>
          <w:tcPr>
            <w:tcW w:w="1100" w:type="pct"/>
            <w:shd w:val="clear" w:color="auto" w:fill="FFFFCC"/>
            <w:vAlign w:val="bottom"/>
            <w:hideMark/>
          </w:tcPr>
          <w:p w:rsidR="002C1621" w:rsidRPr="002C1621" w:rsidRDefault="002C1621" w:rsidP="002C1621">
            <w:pPr>
              <w:widowControl/>
              <w:jc w:val="center"/>
              <w:rPr>
                <w:szCs w:val="24"/>
              </w:rPr>
            </w:pPr>
            <w:r w:rsidRPr="002C1621">
              <w:rPr>
                <w:color w:val="FF6666"/>
                <w:szCs w:val="24"/>
              </w:rPr>
              <w:t>- $750</w:t>
            </w:r>
            <w:r w:rsidRPr="002C1621">
              <w:rPr>
                <w:szCs w:val="24"/>
              </w:rPr>
              <w:t xml:space="preserve"> </w:t>
            </w:r>
          </w:p>
        </w:tc>
        <w:tc>
          <w:tcPr>
            <w:tcW w:w="200" w:type="pct"/>
            <w:shd w:val="clear" w:color="auto" w:fill="FFFFCC"/>
            <w:vAlign w:val="bottom"/>
            <w:hideMark/>
          </w:tcPr>
          <w:p w:rsidR="002C1621" w:rsidRPr="002C1621" w:rsidRDefault="002C1621" w:rsidP="002C1621">
            <w:pPr>
              <w:widowControl/>
              <w:jc w:val="center"/>
              <w:rPr>
                <w:szCs w:val="24"/>
              </w:rPr>
            </w:pPr>
            <w:r w:rsidRPr="002C1621">
              <w:rPr>
                <w:color w:val="FF6666"/>
                <w:szCs w:val="24"/>
              </w:rPr>
              <w:t>=</w:t>
            </w:r>
          </w:p>
        </w:tc>
        <w:tc>
          <w:tcPr>
            <w:tcW w:w="1100" w:type="pct"/>
            <w:shd w:val="clear" w:color="auto" w:fill="FFFFCC"/>
            <w:vAlign w:val="bottom"/>
            <w:hideMark/>
          </w:tcPr>
          <w:p w:rsidR="002C1621" w:rsidRPr="002C1621" w:rsidRDefault="002C1621" w:rsidP="002C1621">
            <w:pPr>
              <w:widowControl/>
              <w:jc w:val="center"/>
              <w:rPr>
                <w:szCs w:val="24"/>
              </w:rPr>
            </w:pPr>
            <w:r w:rsidRPr="002C1621">
              <w:rPr>
                <w:color w:val="FF6666"/>
                <w:szCs w:val="24"/>
              </w:rPr>
              <w:t> </w:t>
            </w:r>
          </w:p>
        </w:tc>
        <w:tc>
          <w:tcPr>
            <w:tcW w:w="200" w:type="pct"/>
            <w:shd w:val="clear" w:color="auto" w:fill="FFFFCC"/>
            <w:vAlign w:val="bottom"/>
            <w:hideMark/>
          </w:tcPr>
          <w:p w:rsidR="002C1621" w:rsidRPr="002C1621" w:rsidRDefault="002C1621" w:rsidP="002C1621">
            <w:pPr>
              <w:widowControl/>
              <w:jc w:val="center"/>
              <w:rPr>
                <w:szCs w:val="24"/>
              </w:rPr>
            </w:pPr>
            <w:r w:rsidRPr="002C1621">
              <w:rPr>
                <w:color w:val="FF6666"/>
                <w:szCs w:val="24"/>
              </w:rPr>
              <w:t> </w:t>
            </w:r>
          </w:p>
        </w:tc>
        <w:tc>
          <w:tcPr>
            <w:tcW w:w="1100" w:type="pct"/>
            <w:shd w:val="clear" w:color="auto" w:fill="FFFFCC"/>
            <w:vAlign w:val="bottom"/>
            <w:hideMark/>
          </w:tcPr>
          <w:p w:rsidR="002C1621" w:rsidRPr="002C1621" w:rsidRDefault="002C1621" w:rsidP="002C1621">
            <w:pPr>
              <w:widowControl/>
              <w:jc w:val="center"/>
              <w:rPr>
                <w:szCs w:val="24"/>
              </w:rPr>
            </w:pPr>
            <w:r w:rsidRPr="002C1621">
              <w:rPr>
                <w:color w:val="FF6666"/>
                <w:szCs w:val="24"/>
              </w:rPr>
              <w:t> </w:t>
            </w:r>
          </w:p>
        </w:tc>
        <w:tc>
          <w:tcPr>
            <w:tcW w:w="200" w:type="pct"/>
            <w:shd w:val="clear" w:color="auto" w:fill="FFFFCC"/>
            <w:vAlign w:val="bottom"/>
            <w:hideMark/>
          </w:tcPr>
          <w:p w:rsidR="002C1621" w:rsidRPr="002C1621" w:rsidRDefault="002C1621" w:rsidP="002C1621">
            <w:pPr>
              <w:widowControl/>
              <w:jc w:val="center"/>
              <w:rPr>
                <w:szCs w:val="24"/>
              </w:rPr>
            </w:pPr>
            <w:r w:rsidRPr="002C1621">
              <w:rPr>
                <w:color w:val="FF6666"/>
                <w:szCs w:val="24"/>
              </w:rPr>
              <w:t> </w:t>
            </w:r>
          </w:p>
        </w:tc>
        <w:tc>
          <w:tcPr>
            <w:tcW w:w="1100" w:type="pct"/>
            <w:shd w:val="clear" w:color="auto" w:fill="FFFFCC"/>
            <w:vAlign w:val="bottom"/>
            <w:hideMark/>
          </w:tcPr>
          <w:p w:rsidR="002C1621" w:rsidRPr="002C1621" w:rsidRDefault="002C1621" w:rsidP="002C1621">
            <w:pPr>
              <w:widowControl/>
              <w:jc w:val="center"/>
              <w:rPr>
                <w:szCs w:val="24"/>
              </w:rPr>
            </w:pPr>
            <w:r w:rsidRPr="002C1621">
              <w:rPr>
                <w:color w:val="FF6666"/>
                <w:szCs w:val="24"/>
              </w:rPr>
              <w:t>- $750</w:t>
            </w:r>
          </w:p>
        </w:tc>
      </w:tr>
    </w:tbl>
    <w:p w:rsidR="002C1621" w:rsidRPr="002C1621" w:rsidRDefault="002C1621" w:rsidP="002C1621">
      <w:pPr>
        <w:widowControl/>
        <w:ind w:left="720"/>
        <w:rPr>
          <w:rFonts w:ascii="Times New Roman" w:eastAsia="Times New Roman" w:hAnsi="Times New Roman" w:cs="Times New Roman"/>
          <w:color w:val="FF0000"/>
          <w:kern w:val="0"/>
          <w:szCs w:val="24"/>
        </w:rPr>
      </w:pPr>
    </w:p>
    <w:p w:rsidR="002C1621" w:rsidRPr="002C1621" w:rsidRDefault="002C1621" w:rsidP="002C1621">
      <w:pPr>
        <w:widowControl/>
        <w:ind w:left="720"/>
        <w:rPr>
          <w:rFonts w:ascii="Times New Roman" w:eastAsia="Times New Roman" w:hAnsi="Times New Roman" w:cs="Times New Roman"/>
          <w:kern w:val="0"/>
          <w:szCs w:val="24"/>
        </w:rPr>
      </w:pPr>
      <w:r w:rsidRPr="002C1621">
        <w:rPr>
          <w:rFonts w:ascii="Times New Roman" w:eastAsia="Times New Roman" w:hAnsi="Times New Roman" w:cs="Times New Roman"/>
          <w:color w:val="FF0000"/>
          <w:kern w:val="0"/>
          <w:szCs w:val="24"/>
        </w:rPr>
        <w:t xml:space="preserve">Resources would be reduced because $750 ($50,000 </w:t>
      </w:r>
      <w:proofErr w:type="gramStart"/>
      <w:r w:rsidRPr="002C1621">
        <w:rPr>
          <w:rFonts w:ascii="Times New Roman" w:eastAsia="Times New Roman" w:hAnsi="Times New Roman" w:cs="Times New Roman"/>
          <w:color w:val="FF0000"/>
          <w:kern w:val="0"/>
          <w:szCs w:val="24"/>
        </w:rPr>
        <w:t xml:space="preserve">x </w:t>
      </w:r>
      <w:r w:rsidR="00AD3C67">
        <w:rPr>
          <w:rFonts w:ascii="Times New Roman" w:eastAsia="Times New Roman" w:hAnsi="Times New Roman" w:cs="Times New Roman"/>
          <w:color w:val="FF0000"/>
          <w:kern w:val="0"/>
          <w:szCs w:val="24"/>
        </w:rPr>
        <w:t>.</w:t>
      </w:r>
      <w:proofErr w:type="gramEnd"/>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015) of accounts receivable are not expected to be collected</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lastRenderedPageBreak/>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Accounts receivable that do not result in cash are not resources</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Sources of resources would be reduced because $750 of the sales recorded earlier as an increase in sources of resources will not result in actual resources</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kern w:val="0"/>
          <w:szCs w:val="24"/>
        </w:rPr>
        <w:t xml:space="preserve"> </w:t>
      </w:r>
    </w:p>
    <w:p w:rsidR="002C1621" w:rsidRPr="002C1621" w:rsidRDefault="002C1621" w:rsidP="002C1621">
      <w:pPr>
        <w:widowControl/>
        <w:spacing w:before="100" w:beforeAutospacing="1" w:after="100" w:afterAutospacing="1"/>
        <w:ind w:left="720"/>
        <w:rPr>
          <w:rFonts w:ascii="Times New Roman" w:eastAsia="Times New Roman" w:hAnsi="Times New Roman" w:cs="Times New Roman"/>
          <w:kern w:val="0"/>
          <w:szCs w:val="24"/>
        </w:rPr>
      </w:pPr>
      <w:r w:rsidRPr="002C1621">
        <w:rPr>
          <w:rFonts w:ascii="Times New Roman" w:eastAsia="Times New Roman" w:hAnsi="Times New Roman" w:cs="Times New Roman"/>
          <w:color w:val="FF0000"/>
          <w:kern w:val="0"/>
          <w:szCs w:val="24"/>
        </w:rPr>
        <w:t>Since assets increase with debits (and decrease with credits) and debits equal credits, the journal entry to record the $750 uncollectible accounts receivable would be as follows</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p>
    <w:tbl>
      <w:tblPr>
        <w:tblStyle w:val="TableNormal"/>
        <w:tblW w:w="8355" w:type="dxa"/>
        <w:jc w:val="center"/>
        <w:tblCellSpacing w:w="0" w:type="dxa"/>
        <w:tblInd w:w="0" w:type="dxa"/>
        <w:tblBorders>
          <w:top w:val="outset" w:sz="6" w:space="0" w:color="auto"/>
          <w:left w:val="outset" w:sz="6" w:space="0" w:color="auto"/>
          <w:bottom w:val="outset" w:sz="6" w:space="0" w:color="auto"/>
          <w:right w:val="outset" w:sz="6" w:space="0" w:color="auto"/>
        </w:tblBorders>
        <w:shd w:val="clear" w:color="auto" w:fill="99FF99"/>
        <w:tblCellMar>
          <w:left w:w="0" w:type="dxa"/>
          <w:right w:w="0" w:type="dxa"/>
        </w:tblCellMar>
        <w:tblLook w:val="04A0" w:firstRow="1" w:lastRow="0" w:firstColumn="1" w:lastColumn="0" w:noHBand="0" w:noVBand="1"/>
      </w:tblPr>
      <w:tblGrid>
        <w:gridCol w:w="1002"/>
        <w:gridCol w:w="4929"/>
        <w:gridCol w:w="752"/>
        <w:gridCol w:w="836"/>
        <w:gridCol w:w="836"/>
      </w:tblGrid>
      <w:tr w:rsidR="002C1621" w:rsidRPr="002C1621" w:rsidTr="002C1621">
        <w:trPr>
          <w:tblCellSpacing w:w="0" w:type="dxa"/>
          <w:jc w:val="center"/>
        </w:trPr>
        <w:tc>
          <w:tcPr>
            <w:tcW w:w="600" w:type="pct"/>
            <w:tcBorders>
              <w:top w:val="outset" w:sz="6" w:space="0" w:color="auto"/>
              <w:left w:val="outset" w:sz="6" w:space="0" w:color="auto"/>
              <w:bottom w:val="outset" w:sz="6" w:space="0" w:color="auto"/>
              <w:right w:val="outset" w:sz="6" w:space="0" w:color="auto"/>
            </w:tcBorders>
            <w:shd w:val="clear" w:color="auto" w:fill="99FF99"/>
            <w:vAlign w:val="bottom"/>
            <w:hideMark/>
          </w:tcPr>
          <w:p w:rsidR="002C1621" w:rsidRPr="002C1621" w:rsidRDefault="002C1621" w:rsidP="002C1621">
            <w:pPr>
              <w:widowControl/>
              <w:jc w:val="center"/>
              <w:rPr>
                <w:szCs w:val="24"/>
              </w:rPr>
            </w:pPr>
            <w:r w:rsidRPr="002C1621">
              <w:rPr>
                <w:szCs w:val="24"/>
              </w:rPr>
              <w:t xml:space="preserve">Date </w:t>
            </w:r>
          </w:p>
        </w:tc>
        <w:tc>
          <w:tcPr>
            <w:tcW w:w="2950" w:type="pct"/>
            <w:tcBorders>
              <w:top w:val="outset" w:sz="6" w:space="0" w:color="auto"/>
              <w:left w:val="outset" w:sz="6" w:space="0" w:color="auto"/>
              <w:bottom w:val="outset" w:sz="6" w:space="0" w:color="auto"/>
              <w:right w:val="outset" w:sz="6" w:space="0" w:color="auto"/>
            </w:tcBorders>
            <w:shd w:val="clear" w:color="auto" w:fill="99FF99"/>
            <w:vAlign w:val="bottom"/>
            <w:hideMark/>
          </w:tcPr>
          <w:p w:rsidR="002C1621" w:rsidRPr="002C1621" w:rsidRDefault="002C1621" w:rsidP="002C1621">
            <w:pPr>
              <w:widowControl/>
              <w:jc w:val="center"/>
              <w:rPr>
                <w:szCs w:val="24"/>
              </w:rPr>
            </w:pPr>
            <w:r w:rsidRPr="002C1621">
              <w:rPr>
                <w:szCs w:val="24"/>
              </w:rPr>
              <w:t xml:space="preserve">Description </w:t>
            </w:r>
          </w:p>
        </w:tc>
        <w:tc>
          <w:tcPr>
            <w:tcW w:w="450" w:type="pct"/>
            <w:tcBorders>
              <w:top w:val="outset" w:sz="6" w:space="0" w:color="auto"/>
              <w:left w:val="outset" w:sz="6" w:space="0" w:color="auto"/>
              <w:bottom w:val="outset" w:sz="6" w:space="0" w:color="auto"/>
              <w:right w:val="outset" w:sz="6" w:space="0" w:color="auto"/>
            </w:tcBorders>
            <w:shd w:val="clear" w:color="auto" w:fill="99FF99"/>
            <w:vAlign w:val="bottom"/>
            <w:hideMark/>
          </w:tcPr>
          <w:p w:rsidR="002C1621" w:rsidRPr="002C1621" w:rsidRDefault="002C1621" w:rsidP="002C1621">
            <w:pPr>
              <w:widowControl/>
              <w:jc w:val="center"/>
              <w:rPr>
                <w:szCs w:val="24"/>
              </w:rPr>
            </w:pPr>
            <w:r w:rsidRPr="002C1621">
              <w:rPr>
                <w:szCs w:val="24"/>
              </w:rPr>
              <w:t>Post</w:t>
            </w:r>
            <w:r w:rsidR="00AD3C67">
              <w:rPr>
                <w:szCs w:val="24"/>
              </w:rPr>
              <w:t>.</w:t>
            </w:r>
            <w:r w:rsidR="00AD3C67">
              <w:rPr>
                <w:szCs w:val="24"/>
              </w:rPr>
              <w:br/>
            </w:r>
            <w:r w:rsidR="00AD3C67">
              <w:rPr>
                <w:szCs w:val="24"/>
              </w:rPr>
              <w:br/>
            </w:r>
            <w:r w:rsidR="00AD3C67">
              <w:rPr>
                <w:szCs w:val="24"/>
              </w:rPr>
              <w:br/>
            </w:r>
            <w:r w:rsidRPr="002C1621">
              <w:rPr>
                <w:szCs w:val="24"/>
              </w:rPr>
              <w:t xml:space="preserve"> </w:t>
            </w:r>
            <w:r w:rsidRPr="002C1621">
              <w:rPr>
                <w:szCs w:val="24"/>
              </w:rPr>
              <w:br/>
              <w:t>Ref</w:t>
            </w:r>
            <w:r w:rsidR="00AD3C67">
              <w:rPr>
                <w:szCs w:val="24"/>
              </w:rPr>
              <w:t>.</w:t>
            </w:r>
            <w:r w:rsidR="00AD3C67">
              <w:rPr>
                <w:szCs w:val="24"/>
              </w:rPr>
              <w:br/>
            </w:r>
            <w:r w:rsidR="00AD3C67">
              <w:rPr>
                <w:szCs w:val="24"/>
              </w:rPr>
              <w:br/>
            </w:r>
            <w:r w:rsidR="00AD3C67">
              <w:rPr>
                <w:szCs w:val="24"/>
              </w:rPr>
              <w:br/>
            </w:r>
            <w:r w:rsidRPr="002C1621">
              <w:rPr>
                <w:szCs w:val="24"/>
              </w:rPr>
              <w:t xml:space="preserve"> </w:t>
            </w:r>
          </w:p>
        </w:tc>
        <w:tc>
          <w:tcPr>
            <w:tcW w:w="500" w:type="pct"/>
            <w:tcBorders>
              <w:top w:val="outset" w:sz="6" w:space="0" w:color="auto"/>
              <w:left w:val="outset" w:sz="6" w:space="0" w:color="auto"/>
              <w:bottom w:val="outset" w:sz="6" w:space="0" w:color="auto"/>
              <w:right w:val="outset" w:sz="6" w:space="0" w:color="auto"/>
            </w:tcBorders>
            <w:shd w:val="clear" w:color="auto" w:fill="99FF99"/>
            <w:vAlign w:val="bottom"/>
            <w:hideMark/>
          </w:tcPr>
          <w:p w:rsidR="002C1621" w:rsidRPr="002C1621" w:rsidRDefault="002C1621" w:rsidP="002C1621">
            <w:pPr>
              <w:widowControl/>
              <w:jc w:val="center"/>
              <w:rPr>
                <w:szCs w:val="24"/>
              </w:rPr>
            </w:pPr>
            <w:r w:rsidRPr="002C1621">
              <w:rPr>
                <w:szCs w:val="24"/>
              </w:rPr>
              <w:t xml:space="preserve">Debits </w:t>
            </w:r>
          </w:p>
        </w:tc>
        <w:tc>
          <w:tcPr>
            <w:tcW w:w="500" w:type="pct"/>
            <w:tcBorders>
              <w:top w:val="outset" w:sz="6" w:space="0" w:color="auto"/>
              <w:left w:val="outset" w:sz="6" w:space="0" w:color="auto"/>
              <w:bottom w:val="outset" w:sz="6" w:space="0" w:color="auto"/>
              <w:right w:val="outset" w:sz="6" w:space="0" w:color="auto"/>
            </w:tcBorders>
            <w:shd w:val="clear" w:color="auto" w:fill="99FF99"/>
            <w:vAlign w:val="bottom"/>
            <w:hideMark/>
          </w:tcPr>
          <w:p w:rsidR="002C1621" w:rsidRPr="002C1621" w:rsidRDefault="002C1621" w:rsidP="002C1621">
            <w:pPr>
              <w:widowControl/>
              <w:jc w:val="center"/>
              <w:rPr>
                <w:szCs w:val="24"/>
              </w:rPr>
            </w:pPr>
            <w:r w:rsidRPr="002C1621">
              <w:rPr>
                <w:szCs w:val="24"/>
              </w:rPr>
              <w:t xml:space="preserve">Credits </w:t>
            </w:r>
          </w:p>
        </w:tc>
      </w:tr>
      <w:tr w:rsidR="002C1621" w:rsidRPr="002C1621" w:rsidTr="002C1621">
        <w:trPr>
          <w:tblCellSpacing w:w="0" w:type="dxa"/>
          <w:jc w:val="center"/>
        </w:trPr>
        <w:tc>
          <w:tcPr>
            <w:tcW w:w="600" w:type="pct"/>
            <w:tcBorders>
              <w:top w:val="outset" w:sz="6" w:space="0" w:color="auto"/>
              <w:left w:val="outset" w:sz="6" w:space="0" w:color="auto"/>
              <w:bottom w:val="outset" w:sz="6" w:space="0" w:color="auto"/>
              <w:right w:val="outset" w:sz="6" w:space="0" w:color="auto"/>
            </w:tcBorders>
            <w:shd w:val="clear" w:color="auto" w:fill="99FF99"/>
            <w:hideMark/>
          </w:tcPr>
          <w:p w:rsidR="002C1621" w:rsidRPr="002C1621" w:rsidRDefault="002C1621" w:rsidP="002C1621">
            <w:pPr>
              <w:widowControl/>
              <w:jc w:val="center"/>
              <w:rPr>
                <w:szCs w:val="24"/>
              </w:rPr>
            </w:pPr>
            <w:r w:rsidRPr="002C1621">
              <w:rPr>
                <w:szCs w:val="24"/>
              </w:rPr>
              <w:t>Jan</w:t>
            </w:r>
            <w:r w:rsidR="00AD3C67">
              <w:rPr>
                <w:szCs w:val="24"/>
              </w:rPr>
              <w:t>.</w:t>
            </w:r>
            <w:r w:rsidR="00AD3C67">
              <w:rPr>
                <w:szCs w:val="24"/>
              </w:rPr>
              <w:br/>
            </w:r>
            <w:r w:rsidR="00AD3C67">
              <w:rPr>
                <w:szCs w:val="24"/>
              </w:rPr>
              <w:br/>
            </w:r>
            <w:r w:rsidR="00AD3C67">
              <w:rPr>
                <w:szCs w:val="24"/>
              </w:rPr>
              <w:br/>
            </w:r>
            <w:r w:rsidRPr="002C1621">
              <w:rPr>
                <w:szCs w:val="24"/>
              </w:rPr>
              <w:t xml:space="preserve"> 31 </w:t>
            </w:r>
          </w:p>
        </w:tc>
        <w:tc>
          <w:tcPr>
            <w:tcW w:w="2950" w:type="pct"/>
            <w:tcBorders>
              <w:top w:val="outset" w:sz="6" w:space="0" w:color="auto"/>
              <w:left w:val="outset" w:sz="6" w:space="0" w:color="auto"/>
              <w:bottom w:val="outset" w:sz="6" w:space="0" w:color="auto"/>
              <w:right w:val="outset" w:sz="6" w:space="0" w:color="auto"/>
            </w:tcBorders>
            <w:shd w:val="clear" w:color="auto" w:fill="99FF99"/>
            <w:hideMark/>
          </w:tcPr>
          <w:p w:rsidR="002C1621" w:rsidRPr="002C1621" w:rsidRDefault="002C1621" w:rsidP="002C1621">
            <w:pPr>
              <w:widowControl/>
              <w:rPr>
                <w:szCs w:val="24"/>
              </w:rPr>
            </w:pPr>
            <w:r w:rsidRPr="002C1621">
              <w:rPr>
                <w:color w:val="FF0000"/>
                <w:szCs w:val="24"/>
              </w:rPr>
              <w:t>Uncollectible Accounts Expense</w:t>
            </w:r>
          </w:p>
        </w:tc>
        <w:tc>
          <w:tcPr>
            <w:tcW w:w="450" w:type="pct"/>
            <w:tcBorders>
              <w:top w:val="outset" w:sz="6" w:space="0" w:color="auto"/>
              <w:left w:val="outset" w:sz="6" w:space="0" w:color="auto"/>
              <w:bottom w:val="outset" w:sz="6" w:space="0" w:color="auto"/>
              <w:right w:val="outset" w:sz="6" w:space="0" w:color="auto"/>
            </w:tcBorders>
            <w:shd w:val="clear" w:color="auto" w:fill="99FF99"/>
            <w:hideMark/>
          </w:tcPr>
          <w:p w:rsidR="002C1621" w:rsidRPr="002C1621" w:rsidRDefault="002C1621" w:rsidP="002C1621">
            <w:pPr>
              <w:widowControl/>
              <w:rPr>
                <w:szCs w:val="24"/>
              </w:rPr>
            </w:pPr>
            <w:r w:rsidRPr="002C1621">
              <w:rPr>
                <w:color w:val="FF0000"/>
                <w:szCs w:val="24"/>
              </w:rPr>
              <w:t> </w:t>
            </w:r>
          </w:p>
        </w:tc>
        <w:tc>
          <w:tcPr>
            <w:tcW w:w="500" w:type="pct"/>
            <w:tcBorders>
              <w:top w:val="outset" w:sz="6" w:space="0" w:color="auto"/>
              <w:left w:val="outset" w:sz="6" w:space="0" w:color="auto"/>
              <w:bottom w:val="outset" w:sz="6" w:space="0" w:color="auto"/>
              <w:right w:val="outset" w:sz="6" w:space="0" w:color="auto"/>
            </w:tcBorders>
            <w:shd w:val="clear" w:color="auto" w:fill="99FF99"/>
            <w:hideMark/>
          </w:tcPr>
          <w:p w:rsidR="002C1621" w:rsidRPr="002C1621" w:rsidRDefault="002C1621" w:rsidP="002C1621">
            <w:pPr>
              <w:widowControl/>
              <w:jc w:val="right"/>
              <w:rPr>
                <w:szCs w:val="24"/>
              </w:rPr>
            </w:pPr>
            <w:r w:rsidRPr="002C1621">
              <w:rPr>
                <w:color w:val="FF0000"/>
                <w:szCs w:val="24"/>
              </w:rPr>
              <w:t>750</w:t>
            </w:r>
          </w:p>
        </w:tc>
        <w:tc>
          <w:tcPr>
            <w:tcW w:w="500" w:type="pct"/>
            <w:tcBorders>
              <w:top w:val="outset" w:sz="6" w:space="0" w:color="auto"/>
              <w:left w:val="outset" w:sz="6" w:space="0" w:color="auto"/>
              <w:bottom w:val="outset" w:sz="6" w:space="0" w:color="auto"/>
              <w:right w:val="outset" w:sz="6" w:space="0" w:color="auto"/>
            </w:tcBorders>
            <w:shd w:val="clear" w:color="auto" w:fill="99FF99"/>
            <w:hideMark/>
          </w:tcPr>
          <w:p w:rsidR="002C1621" w:rsidRPr="002C1621" w:rsidRDefault="002C1621" w:rsidP="002C1621">
            <w:pPr>
              <w:widowControl/>
              <w:rPr>
                <w:szCs w:val="24"/>
              </w:rPr>
            </w:pPr>
            <w:r w:rsidRPr="002C1621">
              <w:rPr>
                <w:color w:val="FF0000"/>
                <w:szCs w:val="24"/>
              </w:rPr>
              <w:t> </w:t>
            </w:r>
          </w:p>
        </w:tc>
      </w:tr>
      <w:tr w:rsidR="002C1621" w:rsidRPr="002C1621" w:rsidTr="002C1621">
        <w:trPr>
          <w:tblCellSpacing w:w="0" w:type="dxa"/>
          <w:jc w:val="center"/>
        </w:trPr>
        <w:tc>
          <w:tcPr>
            <w:tcW w:w="600" w:type="pct"/>
            <w:tcBorders>
              <w:top w:val="outset" w:sz="6" w:space="0" w:color="auto"/>
              <w:left w:val="outset" w:sz="6" w:space="0" w:color="auto"/>
              <w:bottom w:val="outset" w:sz="6" w:space="0" w:color="auto"/>
              <w:right w:val="outset" w:sz="6" w:space="0" w:color="auto"/>
            </w:tcBorders>
            <w:shd w:val="clear" w:color="auto" w:fill="99FF99"/>
            <w:hideMark/>
          </w:tcPr>
          <w:p w:rsidR="002C1621" w:rsidRPr="002C1621" w:rsidRDefault="002C1621" w:rsidP="002C1621">
            <w:pPr>
              <w:widowControl/>
              <w:rPr>
                <w:szCs w:val="24"/>
              </w:rPr>
            </w:pPr>
            <w:r w:rsidRPr="002C1621">
              <w:rPr>
                <w:color w:val="FF0000"/>
                <w:szCs w:val="24"/>
              </w:rPr>
              <w:t> </w:t>
            </w:r>
          </w:p>
        </w:tc>
        <w:tc>
          <w:tcPr>
            <w:tcW w:w="2950" w:type="pct"/>
            <w:tcBorders>
              <w:top w:val="outset" w:sz="6" w:space="0" w:color="auto"/>
              <w:left w:val="outset" w:sz="6" w:space="0" w:color="auto"/>
              <w:bottom w:val="outset" w:sz="6" w:space="0" w:color="auto"/>
              <w:right w:val="outset" w:sz="6" w:space="0" w:color="auto"/>
            </w:tcBorders>
            <w:shd w:val="clear" w:color="auto" w:fill="99FF99"/>
            <w:hideMark/>
          </w:tcPr>
          <w:p w:rsidR="002C1621" w:rsidRPr="002C1621" w:rsidRDefault="002C1621" w:rsidP="002C1621">
            <w:pPr>
              <w:widowControl/>
              <w:rPr>
                <w:szCs w:val="24"/>
              </w:rPr>
            </w:pPr>
            <w:r w:rsidRPr="002C1621">
              <w:rPr>
                <w:color w:val="FF0000"/>
                <w:szCs w:val="24"/>
              </w:rPr>
              <w:t>     Allowance for Uncollectible Accounts</w:t>
            </w:r>
          </w:p>
        </w:tc>
        <w:tc>
          <w:tcPr>
            <w:tcW w:w="450" w:type="pct"/>
            <w:tcBorders>
              <w:top w:val="outset" w:sz="6" w:space="0" w:color="auto"/>
              <w:left w:val="outset" w:sz="6" w:space="0" w:color="auto"/>
              <w:bottom w:val="outset" w:sz="6" w:space="0" w:color="auto"/>
              <w:right w:val="outset" w:sz="6" w:space="0" w:color="auto"/>
            </w:tcBorders>
            <w:shd w:val="clear" w:color="auto" w:fill="99FF99"/>
            <w:hideMark/>
          </w:tcPr>
          <w:p w:rsidR="002C1621" w:rsidRPr="002C1621" w:rsidRDefault="002C1621" w:rsidP="002C1621">
            <w:pPr>
              <w:widowControl/>
              <w:rPr>
                <w:szCs w:val="24"/>
              </w:rPr>
            </w:pPr>
            <w:r w:rsidRPr="002C1621">
              <w:rPr>
                <w:color w:val="FF0000"/>
                <w:szCs w:val="24"/>
              </w:rPr>
              <w:t> </w:t>
            </w:r>
          </w:p>
        </w:tc>
        <w:tc>
          <w:tcPr>
            <w:tcW w:w="500" w:type="pct"/>
            <w:tcBorders>
              <w:top w:val="outset" w:sz="6" w:space="0" w:color="auto"/>
              <w:left w:val="outset" w:sz="6" w:space="0" w:color="auto"/>
              <w:bottom w:val="outset" w:sz="6" w:space="0" w:color="auto"/>
              <w:right w:val="outset" w:sz="6" w:space="0" w:color="auto"/>
            </w:tcBorders>
            <w:shd w:val="clear" w:color="auto" w:fill="99FF99"/>
            <w:hideMark/>
          </w:tcPr>
          <w:p w:rsidR="002C1621" w:rsidRPr="002C1621" w:rsidRDefault="002C1621" w:rsidP="002C1621">
            <w:pPr>
              <w:widowControl/>
              <w:rPr>
                <w:szCs w:val="24"/>
              </w:rPr>
            </w:pPr>
            <w:r w:rsidRPr="002C1621">
              <w:rPr>
                <w:color w:val="FF0000"/>
                <w:szCs w:val="24"/>
              </w:rPr>
              <w:t> </w:t>
            </w:r>
          </w:p>
        </w:tc>
        <w:tc>
          <w:tcPr>
            <w:tcW w:w="500" w:type="pct"/>
            <w:tcBorders>
              <w:top w:val="outset" w:sz="6" w:space="0" w:color="auto"/>
              <w:left w:val="outset" w:sz="6" w:space="0" w:color="auto"/>
              <w:bottom w:val="outset" w:sz="6" w:space="0" w:color="auto"/>
              <w:right w:val="outset" w:sz="6" w:space="0" w:color="auto"/>
            </w:tcBorders>
            <w:shd w:val="clear" w:color="auto" w:fill="99FF99"/>
            <w:hideMark/>
          </w:tcPr>
          <w:p w:rsidR="002C1621" w:rsidRPr="002C1621" w:rsidRDefault="002C1621" w:rsidP="002C1621">
            <w:pPr>
              <w:widowControl/>
              <w:jc w:val="right"/>
              <w:rPr>
                <w:szCs w:val="24"/>
              </w:rPr>
            </w:pPr>
            <w:r w:rsidRPr="002C1621">
              <w:rPr>
                <w:color w:val="FF0000"/>
                <w:szCs w:val="24"/>
              </w:rPr>
              <w:t>750</w:t>
            </w:r>
          </w:p>
        </w:tc>
      </w:tr>
      <w:tr w:rsidR="002C1621" w:rsidRPr="002C1621" w:rsidTr="002C1621">
        <w:trPr>
          <w:tblCellSpacing w:w="0" w:type="dxa"/>
          <w:jc w:val="center"/>
        </w:trPr>
        <w:tc>
          <w:tcPr>
            <w:tcW w:w="600" w:type="pct"/>
            <w:tcBorders>
              <w:top w:val="outset" w:sz="6" w:space="0" w:color="auto"/>
              <w:left w:val="outset" w:sz="6" w:space="0" w:color="auto"/>
              <w:bottom w:val="outset" w:sz="6" w:space="0" w:color="auto"/>
              <w:right w:val="outset" w:sz="6" w:space="0" w:color="auto"/>
            </w:tcBorders>
            <w:shd w:val="clear" w:color="auto" w:fill="99FF99"/>
            <w:hideMark/>
          </w:tcPr>
          <w:p w:rsidR="002C1621" w:rsidRPr="002C1621" w:rsidRDefault="002C1621" w:rsidP="002C1621">
            <w:pPr>
              <w:widowControl/>
              <w:rPr>
                <w:szCs w:val="24"/>
              </w:rPr>
            </w:pPr>
            <w:r w:rsidRPr="002C1621">
              <w:rPr>
                <w:color w:val="FF0000"/>
                <w:szCs w:val="24"/>
              </w:rPr>
              <w:t> </w:t>
            </w:r>
          </w:p>
        </w:tc>
        <w:tc>
          <w:tcPr>
            <w:tcW w:w="2950" w:type="pct"/>
            <w:tcBorders>
              <w:top w:val="outset" w:sz="6" w:space="0" w:color="auto"/>
              <w:left w:val="outset" w:sz="6" w:space="0" w:color="auto"/>
              <w:bottom w:val="outset" w:sz="6" w:space="0" w:color="auto"/>
              <w:right w:val="outset" w:sz="6" w:space="0" w:color="auto"/>
            </w:tcBorders>
            <w:shd w:val="clear" w:color="auto" w:fill="99FF99"/>
            <w:hideMark/>
          </w:tcPr>
          <w:p w:rsidR="002C1621" w:rsidRPr="002C1621" w:rsidRDefault="002C1621" w:rsidP="002C1621">
            <w:pPr>
              <w:widowControl/>
              <w:jc w:val="center"/>
              <w:rPr>
                <w:szCs w:val="24"/>
              </w:rPr>
            </w:pPr>
            <w:r w:rsidRPr="002C1621">
              <w:rPr>
                <w:color w:val="FF0000"/>
                <w:szCs w:val="24"/>
              </w:rPr>
              <w:t>Uncollectible accounts receivable</w:t>
            </w:r>
            <w:r w:rsidRPr="002C1621">
              <w:rPr>
                <w:szCs w:val="24"/>
              </w:rPr>
              <w:t xml:space="preserve"> </w:t>
            </w:r>
          </w:p>
        </w:tc>
        <w:tc>
          <w:tcPr>
            <w:tcW w:w="450" w:type="pct"/>
            <w:tcBorders>
              <w:top w:val="outset" w:sz="6" w:space="0" w:color="auto"/>
              <w:left w:val="outset" w:sz="6" w:space="0" w:color="auto"/>
              <w:bottom w:val="outset" w:sz="6" w:space="0" w:color="auto"/>
              <w:right w:val="outset" w:sz="6" w:space="0" w:color="auto"/>
            </w:tcBorders>
            <w:shd w:val="clear" w:color="auto" w:fill="99FF99"/>
            <w:hideMark/>
          </w:tcPr>
          <w:p w:rsidR="002C1621" w:rsidRPr="002C1621" w:rsidRDefault="002C1621" w:rsidP="002C1621">
            <w:pPr>
              <w:widowControl/>
              <w:rPr>
                <w:szCs w:val="24"/>
              </w:rPr>
            </w:pPr>
            <w:r w:rsidRPr="002C1621">
              <w:rPr>
                <w:szCs w:val="24"/>
              </w:rPr>
              <w:t> </w:t>
            </w:r>
          </w:p>
        </w:tc>
        <w:tc>
          <w:tcPr>
            <w:tcW w:w="500" w:type="pct"/>
            <w:tcBorders>
              <w:top w:val="outset" w:sz="6" w:space="0" w:color="auto"/>
              <w:left w:val="outset" w:sz="6" w:space="0" w:color="auto"/>
              <w:bottom w:val="outset" w:sz="6" w:space="0" w:color="auto"/>
              <w:right w:val="outset" w:sz="6" w:space="0" w:color="auto"/>
            </w:tcBorders>
            <w:shd w:val="clear" w:color="auto" w:fill="99FF99"/>
            <w:hideMark/>
          </w:tcPr>
          <w:p w:rsidR="002C1621" w:rsidRPr="002C1621" w:rsidRDefault="002C1621" w:rsidP="002C1621">
            <w:pPr>
              <w:widowControl/>
              <w:rPr>
                <w:szCs w:val="24"/>
              </w:rPr>
            </w:pPr>
            <w:r w:rsidRPr="002C1621">
              <w:rPr>
                <w:szCs w:val="24"/>
              </w:rPr>
              <w:t> </w:t>
            </w:r>
          </w:p>
        </w:tc>
        <w:tc>
          <w:tcPr>
            <w:tcW w:w="500" w:type="pct"/>
            <w:tcBorders>
              <w:top w:val="outset" w:sz="6" w:space="0" w:color="auto"/>
              <w:left w:val="outset" w:sz="6" w:space="0" w:color="auto"/>
              <w:bottom w:val="outset" w:sz="6" w:space="0" w:color="auto"/>
              <w:right w:val="outset" w:sz="6" w:space="0" w:color="auto"/>
            </w:tcBorders>
            <w:shd w:val="clear" w:color="auto" w:fill="99FF99"/>
            <w:hideMark/>
          </w:tcPr>
          <w:p w:rsidR="002C1621" w:rsidRPr="002C1621" w:rsidRDefault="002C1621" w:rsidP="002C1621">
            <w:pPr>
              <w:widowControl/>
              <w:rPr>
                <w:szCs w:val="24"/>
              </w:rPr>
            </w:pPr>
            <w:r w:rsidRPr="002C1621">
              <w:rPr>
                <w:szCs w:val="24"/>
              </w:rPr>
              <w:t> </w:t>
            </w:r>
          </w:p>
        </w:tc>
      </w:tr>
    </w:tbl>
    <w:p w:rsidR="002C1621" w:rsidRPr="002C1621" w:rsidRDefault="002C1621" w:rsidP="002C1621">
      <w:pPr>
        <w:widowControl/>
        <w:ind w:left="720"/>
        <w:rPr>
          <w:rFonts w:ascii="Times New Roman" w:eastAsia="Times New Roman" w:hAnsi="Times New Roman" w:cs="Times New Roman"/>
          <w:color w:val="FF0000"/>
          <w:kern w:val="0"/>
          <w:szCs w:val="24"/>
        </w:rPr>
      </w:pPr>
    </w:p>
    <w:p w:rsidR="002C1621" w:rsidRPr="002C1621" w:rsidRDefault="002C1621" w:rsidP="002C1621">
      <w:pPr>
        <w:widowControl/>
        <w:ind w:left="720"/>
        <w:rPr>
          <w:rFonts w:ascii="Times New Roman" w:eastAsia="Times New Roman" w:hAnsi="Times New Roman" w:cs="Times New Roman"/>
          <w:kern w:val="0"/>
          <w:szCs w:val="24"/>
        </w:rPr>
      </w:pPr>
      <w:r w:rsidRPr="002C1621">
        <w:rPr>
          <w:rFonts w:ascii="Times New Roman" w:eastAsia="Times New Roman" w:hAnsi="Times New Roman" w:cs="Times New Roman"/>
          <w:color w:val="FF0000"/>
          <w:kern w:val="0"/>
          <w:szCs w:val="24"/>
        </w:rPr>
        <w:t>Uncollectible accounts expense was debited in the above journal entry in order to recognize the expense of selling to some customers who will not pay</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Since expenses decrease stockholders equity, and stockholders' equity decreases with debits, uncollectible accounts expense was debited</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lastRenderedPageBreak/>
        <w:t xml:space="preserve"> The allowance for uncollectible accounts was credited because the company's (resources) decreased</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Since assets increase with debits, they decrease with credits</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The allowance for uncollectible accounts is an asset account</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Inasmuch as it usually has a credit balance, as opposed to most assets with debit balances, the allowance for uncollectible accounts is called a contra asset account</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kern w:val="0"/>
          <w:szCs w:val="24"/>
        </w:rPr>
        <w:t xml:space="preserve"> </w:t>
      </w:r>
    </w:p>
    <w:p w:rsidR="002C1621" w:rsidRPr="002C1621" w:rsidRDefault="002C1621" w:rsidP="002C1621">
      <w:pPr>
        <w:widowControl/>
        <w:spacing w:before="100" w:beforeAutospacing="1" w:after="100" w:afterAutospacing="1"/>
        <w:ind w:left="720"/>
        <w:rPr>
          <w:rFonts w:ascii="Times New Roman" w:eastAsia="Times New Roman" w:hAnsi="Times New Roman" w:cs="Times New Roman"/>
          <w:kern w:val="0"/>
          <w:szCs w:val="24"/>
        </w:rPr>
      </w:pPr>
      <w:r w:rsidRPr="002C1621">
        <w:rPr>
          <w:rFonts w:ascii="Times New Roman" w:eastAsia="Times New Roman" w:hAnsi="Times New Roman" w:cs="Times New Roman"/>
          <w:color w:val="FF0000"/>
          <w:kern w:val="0"/>
          <w:szCs w:val="24"/>
        </w:rPr>
        <w:t>It is important to note why companies use the allowance for uncollectible accounts rather than simply using accounts receivable</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At the time uncollectible accounts expense is estimated, accounts receivable </w:t>
      </w:r>
      <w:proofErr w:type="spellStart"/>
      <w:r w:rsidRPr="002C1621">
        <w:rPr>
          <w:rFonts w:ascii="Times New Roman" w:eastAsia="Times New Roman" w:hAnsi="Times New Roman" w:cs="Times New Roman"/>
          <w:color w:val="FF0000"/>
          <w:kern w:val="0"/>
          <w:szCs w:val="24"/>
        </w:rPr>
        <w:t>can not</w:t>
      </w:r>
      <w:proofErr w:type="spellEnd"/>
      <w:r w:rsidRPr="002C1621">
        <w:rPr>
          <w:rFonts w:ascii="Times New Roman" w:eastAsia="Times New Roman" w:hAnsi="Times New Roman" w:cs="Times New Roman"/>
          <w:color w:val="FF0000"/>
          <w:kern w:val="0"/>
          <w:szCs w:val="24"/>
        </w:rPr>
        <w:t xml:space="preserve"> be decreased immediately because the specific customers who will not pay are not known at that time</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Since the specific customers are not known, customer accounts in the accounts receivable </w:t>
      </w:r>
      <w:r w:rsidRPr="002C1621">
        <w:rPr>
          <w:rFonts w:ascii="Times New Roman" w:eastAsia="Times New Roman" w:hAnsi="Times New Roman" w:cs="Times New Roman"/>
          <w:color w:val="FF0000"/>
          <w:kern w:val="0"/>
          <w:szCs w:val="24"/>
          <w:u w:val="single"/>
        </w:rPr>
        <w:t>subsidiary ledger</w:t>
      </w:r>
      <w:r w:rsidRPr="002C1621">
        <w:rPr>
          <w:rFonts w:ascii="Times New Roman" w:eastAsia="Times New Roman" w:hAnsi="Times New Roman" w:cs="Times New Roman"/>
          <w:color w:val="FF0000"/>
          <w:kern w:val="0"/>
          <w:szCs w:val="24"/>
        </w:rPr>
        <w:t xml:space="preserve"> </w:t>
      </w:r>
      <w:proofErr w:type="spellStart"/>
      <w:r w:rsidRPr="002C1621">
        <w:rPr>
          <w:rFonts w:ascii="Times New Roman" w:eastAsia="Times New Roman" w:hAnsi="Times New Roman" w:cs="Times New Roman"/>
          <w:color w:val="FF0000"/>
          <w:kern w:val="0"/>
          <w:szCs w:val="24"/>
        </w:rPr>
        <w:t>can not</w:t>
      </w:r>
      <w:proofErr w:type="spellEnd"/>
      <w:r w:rsidRPr="002C1621">
        <w:rPr>
          <w:rFonts w:ascii="Times New Roman" w:eastAsia="Times New Roman" w:hAnsi="Times New Roman" w:cs="Times New Roman"/>
          <w:color w:val="FF0000"/>
          <w:kern w:val="0"/>
          <w:szCs w:val="24"/>
        </w:rPr>
        <w:t xml:space="preserve"> be reduced</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Thus, since the accounts receivable subsidiary ledger </w:t>
      </w:r>
      <w:proofErr w:type="spellStart"/>
      <w:r w:rsidRPr="002C1621">
        <w:rPr>
          <w:rFonts w:ascii="Times New Roman" w:eastAsia="Times New Roman" w:hAnsi="Times New Roman" w:cs="Times New Roman"/>
          <w:color w:val="FF0000"/>
          <w:kern w:val="0"/>
          <w:szCs w:val="24"/>
        </w:rPr>
        <w:t>can not</w:t>
      </w:r>
      <w:proofErr w:type="spellEnd"/>
      <w:r w:rsidRPr="002C1621">
        <w:rPr>
          <w:rFonts w:ascii="Times New Roman" w:eastAsia="Times New Roman" w:hAnsi="Times New Roman" w:cs="Times New Roman"/>
          <w:color w:val="FF0000"/>
          <w:kern w:val="0"/>
          <w:szCs w:val="24"/>
        </w:rPr>
        <w:t xml:space="preserve"> be reduced, accounts receivable in the </w:t>
      </w:r>
      <w:r w:rsidRPr="002C1621">
        <w:rPr>
          <w:rFonts w:ascii="Times New Roman" w:eastAsia="Times New Roman" w:hAnsi="Times New Roman" w:cs="Times New Roman"/>
          <w:color w:val="FF0000"/>
          <w:kern w:val="0"/>
          <w:szCs w:val="24"/>
          <w:u w:val="single"/>
        </w:rPr>
        <w:t>general ledger</w:t>
      </w:r>
      <w:r w:rsidRPr="002C1621">
        <w:rPr>
          <w:rFonts w:ascii="Times New Roman" w:eastAsia="Times New Roman" w:hAnsi="Times New Roman" w:cs="Times New Roman"/>
          <w:color w:val="FF0000"/>
          <w:kern w:val="0"/>
          <w:szCs w:val="24"/>
        </w:rPr>
        <w:t xml:space="preserve"> </w:t>
      </w:r>
      <w:proofErr w:type="spellStart"/>
      <w:r w:rsidRPr="002C1621">
        <w:rPr>
          <w:rFonts w:ascii="Times New Roman" w:eastAsia="Times New Roman" w:hAnsi="Times New Roman" w:cs="Times New Roman"/>
          <w:color w:val="FF0000"/>
          <w:kern w:val="0"/>
          <w:szCs w:val="24"/>
        </w:rPr>
        <w:t>can not</w:t>
      </w:r>
      <w:proofErr w:type="spellEnd"/>
      <w:r w:rsidRPr="002C1621">
        <w:rPr>
          <w:rFonts w:ascii="Times New Roman" w:eastAsia="Times New Roman" w:hAnsi="Times New Roman" w:cs="Times New Roman"/>
          <w:color w:val="FF0000"/>
          <w:kern w:val="0"/>
          <w:szCs w:val="24"/>
        </w:rPr>
        <w:t xml:space="preserve"> be reduced or the two ledgers would not be in agreement</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Remember the total of all accounts in the accounts receivable subsidiary ledger equals the balance in accounts receivable in the general ledger</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Both the accounts receivable subsidiary ledger and the accounts receivable account in the general ledger will be reduced when the company identifies the specific customers who will not pay</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Thus, in order to prevent the accounts receivable subsidiary ledger from not agreeing with accounts </w:t>
      </w:r>
      <w:r w:rsidRPr="002C1621">
        <w:rPr>
          <w:rFonts w:ascii="Times New Roman" w:eastAsia="Times New Roman" w:hAnsi="Times New Roman" w:cs="Times New Roman"/>
          <w:color w:val="FF0000"/>
          <w:kern w:val="0"/>
          <w:szCs w:val="24"/>
        </w:rPr>
        <w:lastRenderedPageBreak/>
        <w:t>receivable in the general ledger, estimated uncollectible accounts receivable are recorded in the allowance for uncollectible accounts rather than directly reducing accounts receivable</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kern w:val="0"/>
          <w:szCs w:val="24"/>
        </w:rPr>
        <w:t xml:space="preserve"> </w:t>
      </w:r>
    </w:p>
    <w:p w:rsidR="002C1621" w:rsidRPr="002C1621" w:rsidRDefault="002C1621" w:rsidP="002C1621">
      <w:pPr>
        <w:widowControl/>
        <w:spacing w:before="100" w:beforeAutospacing="1" w:after="100" w:afterAutospacing="1"/>
        <w:ind w:left="720"/>
        <w:rPr>
          <w:rFonts w:ascii="Times New Roman" w:eastAsia="Times New Roman" w:hAnsi="Times New Roman" w:cs="Times New Roman"/>
          <w:kern w:val="0"/>
          <w:szCs w:val="24"/>
        </w:rPr>
      </w:pPr>
      <w:r w:rsidRPr="002C1621">
        <w:rPr>
          <w:rFonts w:ascii="Times New Roman" w:eastAsia="Times New Roman" w:hAnsi="Times New Roman" w:cs="Times New Roman"/>
          <w:color w:val="FF0000"/>
          <w:kern w:val="0"/>
          <w:szCs w:val="24"/>
        </w:rPr>
        <w:t>When posted to the general ledger, the process of recording uncollectible accounts receivable and the uncollectible accounts expense affects the following accounts</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p>
    <w:tbl>
      <w:tblPr>
        <w:tblStyle w:val="TableNormal"/>
        <w:tblW w:w="10500" w:type="dxa"/>
        <w:jc w:val="center"/>
        <w:tblCellSpacing w:w="0" w:type="dxa"/>
        <w:tblInd w:w="0" w:type="dxa"/>
        <w:tblBorders>
          <w:top w:val="outset" w:sz="6" w:space="0" w:color="auto"/>
          <w:left w:val="outset" w:sz="6" w:space="0" w:color="auto"/>
          <w:bottom w:val="outset" w:sz="6" w:space="0" w:color="auto"/>
          <w:right w:val="outset" w:sz="6" w:space="0" w:color="auto"/>
        </w:tblBorders>
        <w:shd w:val="clear" w:color="auto" w:fill="99FF99"/>
        <w:tblCellMar>
          <w:left w:w="0" w:type="dxa"/>
          <w:right w:w="0" w:type="dxa"/>
        </w:tblCellMar>
        <w:tblLook w:val="04A0" w:firstRow="1" w:lastRow="0" w:firstColumn="1" w:lastColumn="0" w:noHBand="0" w:noVBand="1"/>
      </w:tblPr>
      <w:tblGrid>
        <w:gridCol w:w="1680"/>
        <w:gridCol w:w="1575"/>
        <w:gridCol w:w="525"/>
        <w:gridCol w:w="1575"/>
        <w:gridCol w:w="1575"/>
        <w:gridCol w:w="525"/>
        <w:gridCol w:w="1575"/>
        <w:gridCol w:w="1470"/>
      </w:tblGrid>
      <w:tr w:rsidR="002C1621" w:rsidRPr="002C1621" w:rsidTr="002C1621">
        <w:trPr>
          <w:tblCellSpacing w:w="0" w:type="dxa"/>
          <w:jc w:val="center"/>
        </w:trPr>
        <w:tc>
          <w:tcPr>
            <w:tcW w:w="1500" w:type="pct"/>
            <w:gridSpan w:val="2"/>
            <w:tcBorders>
              <w:top w:val="outset" w:sz="6" w:space="0" w:color="auto"/>
              <w:left w:val="outset" w:sz="6" w:space="0" w:color="auto"/>
              <w:bottom w:val="outset" w:sz="6" w:space="0" w:color="auto"/>
              <w:right w:val="outset" w:sz="6" w:space="0" w:color="auto"/>
            </w:tcBorders>
            <w:shd w:val="clear" w:color="auto" w:fill="99FF99"/>
            <w:vAlign w:val="bottom"/>
            <w:hideMark/>
          </w:tcPr>
          <w:p w:rsidR="002C1621" w:rsidRPr="002C1621" w:rsidRDefault="002C1621" w:rsidP="002C1621">
            <w:pPr>
              <w:widowControl/>
              <w:jc w:val="center"/>
              <w:rPr>
                <w:szCs w:val="24"/>
              </w:rPr>
            </w:pPr>
            <w:r w:rsidRPr="002C1621">
              <w:rPr>
                <w:szCs w:val="24"/>
              </w:rPr>
              <w:t xml:space="preserve">Accounts Receivable </w:t>
            </w:r>
          </w:p>
        </w:tc>
        <w:tc>
          <w:tcPr>
            <w:tcW w:w="250" w:type="pct"/>
            <w:tcBorders>
              <w:top w:val="outset" w:sz="6" w:space="0" w:color="auto"/>
              <w:left w:val="outset" w:sz="6" w:space="0" w:color="auto"/>
              <w:bottom w:val="outset" w:sz="6" w:space="0" w:color="auto"/>
              <w:right w:val="outset" w:sz="6" w:space="0" w:color="auto"/>
            </w:tcBorders>
            <w:shd w:val="clear" w:color="auto" w:fill="FFFFFF"/>
            <w:vAlign w:val="bottom"/>
          </w:tcPr>
          <w:p w:rsidR="002C1621" w:rsidRPr="002C1621" w:rsidRDefault="002C1621" w:rsidP="002C1621">
            <w:pPr>
              <w:widowControl/>
              <w:rPr>
                <w:szCs w:val="24"/>
              </w:rPr>
            </w:pPr>
          </w:p>
        </w:tc>
        <w:tc>
          <w:tcPr>
            <w:tcW w:w="1500" w:type="pct"/>
            <w:gridSpan w:val="2"/>
            <w:tcBorders>
              <w:top w:val="outset" w:sz="6" w:space="0" w:color="auto"/>
              <w:left w:val="outset" w:sz="6" w:space="0" w:color="auto"/>
              <w:bottom w:val="outset" w:sz="6" w:space="0" w:color="auto"/>
              <w:right w:val="outset" w:sz="6" w:space="0" w:color="auto"/>
            </w:tcBorders>
            <w:shd w:val="clear" w:color="auto" w:fill="99FF99"/>
            <w:vAlign w:val="bottom"/>
            <w:hideMark/>
          </w:tcPr>
          <w:p w:rsidR="002C1621" w:rsidRPr="002C1621" w:rsidRDefault="002C1621" w:rsidP="002C1621">
            <w:pPr>
              <w:widowControl/>
              <w:jc w:val="center"/>
              <w:rPr>
                <w:szCs w:val="24"/>
              </w:rPr>
            </w:pPr>
            <w:r w:rsidRPr="002C1621">
              <w:rPr>
                <w:szCs w:val="24"/>
              </w:rPr>
              <w:t xml:space="preserve">Allowance for </w:t>
            </w:r>
            <w:r w:rsidRPr="002C1621">
              <w:rPr>
                <w:szCs w:val="24"/>
              </w:rPr>
              <w:br/>
              <w:t xml:space="preserve">Uncollectible Accounts </w:t>
            </w:r>
          </w:p>
        </w:tc>
        <w:tc>
          <w:tcPr>
            <w:tcW w:w="250" w:type="pct"/>
            <w:tcBorders>
              <w:top w:val="outset" w:sz="6" w:space="0" w:color="auto"/>
              <w:left w:val="outset" w:sz="6" w:space="0" w:color="auto"/>
              <w:bottom w:val="outset" w:sz="6" w:space="0" w:color="auto"/>
              <w:right w:val="outset" w:sz="6" w:space="0" w:color="auto"/>
            </w:tcBorders>
            <w:shd w:val="clear" w:color="auto" w:fill="FFFFFF"/>
            <w:vAlign w:val="bottom"/>
          </w:tcPr>
          <w:p w:rsidR="002C1621" w:rsidRPr="002C1621" w:rsidRDefault="002C1621" w:rsidP="002C1621">
            <w:pPr>
              <w:widowControl/>
              <w:rPr>
                <w:szCs w:val="24"/>
              </w:rPr>
            </w:pPr>
          </w:p>
        </w:tc>
        <w:tc>
          <w:tcPr>
            <w:tcW w:w="1500" w:type="pct"/>
            <w:gridSpan w:val="2"/>
            <w:tcBorders>
              <w:top w:val="outset" w:sz="6" w:space="0" w:color="auto"/>
              <w:left w:val="outset" w:sz="6" w:space="0" w:color="auto"/>
              <w:bottom w:val="outset" w:sz="6" w:space="0" w:color="auto"/>
              <w:right w:val="outset" w:sz="6" w:space="0" w:color="auto"/>
            </w:tcBorders>
            <w:shd w:val="clear" w:color="auto" w:fill="99FF99"/>
            <w:vAlign w:val="bottom"/>
            <w:hideMark/>
          </w:tcPr>
          <w:p w:rsidR="002C1621" w:rsidRPr="002C1621" w:rsidRDefault="002C1621" w:rsidP="002C1621">
            <w:pPr>
              <w:widowControl/>
              <w:jc w:val="center"/>
              <w:rPr>
                <w:szCs w:val="24"/>
              </w:rPr>
            </w:pPr>
            <w:r w:rsidRPr="002C1621">
              <w:rPr>
                <w:szCs w:val="24"/>
              </w:rPr>
              <w:t xml:space="preserve">Uncollectible Accounts Expense </w:t>
            </w:r>
          </w:p>
        </w:tc>
      </w:tr>
      <w:tr w:rsidR="002C1621" w:rsidRPr="002C1621" w:rsidTr="002C1621">
        <w:trPr>
          <w:tblCellSpacing w:w="0" w:type="dxa"/>
          <w:jc w:val="center"/>
        </w:trPr>
        <w:tc>
          <w:tcPr>
            <w:tcW w:w="800" w:type="pct"/>
            <w:tcBorders>
              <w:top w:val="outset" w:sz="6" w:space="0" w:color="auto"/>
              <w:left w:val="outset" w:sz="6" w:space="0" w:color="auto"/>
              <w:bottom w:val="outset" w:sz="6" w:space="0" w:color="auto"/>
              <w:right w:val="outset" w:sz="6" w:space="0" w:color="auto"/>
            </w:tcBorders>
            <w:shd w:val="clear" w:color="auto" w:fill="99FF99"/>
            <w:hideMark/>
          </w:tcPr>
          <w:p w:rsidR="002C1621" w:rsidRPr="002C1621" w:rsidRDefault="002C1621" w:rsidP="002C1621">
            <w:pPr>
              <w:widowControl/>
              <w:jc w:val="right"/>
              <w:rPr>
                <w:szCs w:val="24"/>
              </w:rPr>
            </w:pPr>
            <w:r w:rsidRPr="002C1621">
              <w:rPr>
                <w:szCs w:val="24"/>
              </w:rPr>
              <w:t>$50,000</w:t>
            </w:r>
          </w:p>
        </w:tc>
        <w:tc>
          <w:tcPr>
            <w:tcW w:w="750" w:type="pct"/>
            <w:tcBorders>
              <w:top w:val="outset" w:sz="6" w:space="0" w:color="auto"/>
              <w:left w:val="outset" w:sz="6" w:space="0" w:color="auto"/>
              <w:bottom w:val="outset" w:sz="6" w:space="0" w:color="auto"/>
              <w:right w:val="outset" w:sz="6" w:space="0" w:color="auto"/>
            </w:tcBorders>
            <w:shd w:val="clear" w:color="auto" w:fill="99FF99"/>
            <w:hideMark/>
          </w:tcPr>
          <w:p w:rsidR="002C1621" w:rsidRPr="002C1621" w:rsidRDefault="002C1621" w:rsidP="002C1621">
            <w:pPr>
              <w:widowControl/>
              <w:rPr>
                <w:szCs w:val="24"/>
              </w:rPr>
            </w:pPr>
            <w:r w:rsidRPr="002C1621">
              <w:rPr>
                <w:szCs w:val="24"/>
              </w:rPr>
              <w:t> </w:t>
            </w:r>
          </w:p>
        </w:tc>
        <w:tc>
          <w:tcPr>
            <w:tcW w:w="250" w:type="pct"/>
            <w:tcBorders>
              <w:top w:val="outset" w:sz="6" w:space="0" w:color="auto"/>
              <w:left w:val="outset" w:sz="6" w:space="0" w:color="auto"/>
              <w:bottom w:val="outset" w:sz="6" w:space="0" w:color="auto"/>
              <w:right w:val="outset" w:sz="6" w:space="0" w:color="auto"/>
            </w:tcBorders>
            <w:shd w:val="clear" w:color="auto" w:fill="FFFFFF"/>
          </w:tcPr>
          <w:p w:rsidR="002C1621" w:rsidRPr="002C1621" w:rsidRDefault="002C1621" w:rsidP="002C1621">
            <w:pPr>
              <w:widowControl/>
              <w:rPr>
                <w:szCs w:val="24"/>
              </w:rPr>
            </w:pPr>
          </w:p>
        </w:tc>
        <w:tc>
          <w:tcPr>
            <w:tcW w:w="750" w:type="pct"/>
            <w:tcBorders>
              <w:top w:val="outset" w:sz="6" w:space="0" w:color="auto"/>
              <w:left w:val="outset" w:sz="6" w:space="0" w:color="auto"/>
              <w:bottom w:val="outset" w:sz="6" w:space="0" w:color="auto"/>
              <w:right w:val="outset" w:sz="6" w:space="0" w:color="auto"/>
            </w:tcBorders>
            <w:shd w:val="clear" w:color="auto" w:fill="99FF99"/>
            <w:hideMark/>
          </w:tcPr>
          <w:p w:rsidR="002C1621" w:rsidRPr="002C1621" w:rsidRDefault="002C1621" w:rsidP="002C1621">
            <w:pPr>
              <w:widowControl/>
              <w:rPr>
                <w:szCs w:val="24"/>
              </w:rPr>
            </w:pPr>
            <w:r w:rsidRPr="002C1621">
              <w:rPr>
                <w:szCs w:val="24"/>
              </w:rPr>
              <w:t> </w:t>
            </w:r>
          </w:p>
        </w:tc>
        <w:tc>
          <w:tcPr>
            <w:tcW w:w="750" w:type="pct"/>
            <w:tcBorders>
              <w:top w:val="outset" w:sz="6" w:space="0" w:color="auto"/>
              <w:left w:val="outset" w:sz="6" w:space="0" w:color="auto"/>
              <w:bottom w:val="outset" w:sz="6" w:space="0" w:color="auto"/>
              <w:right w:val="outset" w:sz="6" w:space="0" w:color="auto"/>
            </w:tcBorders>
            <w:shd w:val="clear" w:color="auto" w:fill="99FF99"/>
            <w:hideMark/>
          </w:tcPr>
          <w:p w:rsidR="002C1621" w:rsidRPr="002C1621" w:rsidRDefault="002C1621" w:rsidP="002C1621">
            <w:pPr>
              <w:widowControl/>
              <w:jc w:val="right"/>
              <w:rPr>
                <w:szCs w:val="24"/>
              </w:rPr>
            </w:pPr>
            <w:r w:rsidRPr="002C1621">
              <w:rPr>
                <w:szCs w:val="24"/>
              </w:rPr>
              <w:t>$750</w:t>
            </w:r>
          </w:p>
        </w:tc>
        <w:tc>
          <w:tcPr>
            <w:tcW w:w="250" w:type="pct"/>
            <w:tcBorders>
              <w:top w:val="outset" w:sz="6" w:space="0" w:color="auto"/>
              <w:left w:val="outset" w:sz="6" w:space="0" w:color="auto"/>
              <w:bottom w:val="outset" w:sz="6" w:space="0" w:color="auto"/>
              <w:right w:val="outset" w:sz="6" w:space="0" w:color="auto"/>
            </w:tcBorders>
            <w:shd w:val="clear" w:color="auto" w:fill="FFFFFF"/>
          </w:tcPr>
          <w:p w:rsidR="002C1621" w:rsidRPr="002C1621" w:rsidRDefault="002C1621" w:rsidP="002C1621">
            <w:pPr>
              <w:widowControl/>
              <w:rPr>
                <w:szCs w:val="24"/>
              </w:rPr>
            </w:pPr>
          </w:p>
        </w:tc>
        <w:tc>
          <w:tcPr>
            <w:tcW w:w="750" w:type="pct"/>
            <w:tcBorders>
              <w:top w:val="outset" w:sz="6" w:space="0" w:color="auto"/>
              <w:left w:val="outset" w:sz="6" w:space="0" w:color="auto"/>
              <w:bottom w:val="outset" w:sz="6" w:space="0" w:color="auto"/>
              <w:right w:val="outset" w:sz="6" w:space="0" w:color="auto"/>
            </w:tcBorders>
            <w:shd w:val="clear" w:color="auto" w:fill="99FF99"/>
            <w:hideMark/>
          </w:tcPr>
          <w:p w:rsidR="002C1621" w:rsidRPr="002C1621" w:rsidRDefault="002C1621" w:rsidP="002C1621">
            <w:pPr>
              <w:widowControl/>
              <w:jc w:val="right"/>
              <w:rPr>
                <w:szCs w:val="24"/>
              </w:rPr>
            </w:pPr>
            <w:r w:rsidRPr="002C1621">
              <w:rPr>
                <w:szCs w:val="24"/>
              </w:rPr>
              <w:t>$750</w:t>
            </w:r>
          </w:p>
        </w:tc>
        <w:tc>
          <w:tcPr>
            <w:tcW w:w="750" w:type="pct"/>
            <w:tcBorders>
              <w:top w:val="outset" w:sz="6" w:space="0" w:color="auto"/>
              <w:left w:val="outset" w:sz="6" w:space="0" w:color="auto"/>
              <w:bottom w:val="outset" w:sz="6" w:space="0" w:color="auto"/>
              <w:right w:val="outset" w:sz="6" w:space="0" w:color="auto"/>
            </w:tcBorders>
            <w:shd w:val="clear" w:color="auto" w:fill="99FF99"/>
            <w:hideMark/>
          </w:tcPr>
          <w:p w:rsidR="002C1621" w:rsidRPr="002C1621" w:rsidRDefault="002C1621" w:rsidP="002C1621">
            <w:pPr>
              <w:widowControl/>
              <w:rPr>
                <w:szCs w:val="24"/>
              </w:rPr>
            </w:pPr>
            <w:r w:rsidRPr="002C1621">
              <w:rPr>
                <w:szCs w:val="24"/>
              </w:rPr>
              <w:t> </w:t>
            </w:r>
          </w:p>
        </w:tc>
      </w:tr>
    </w:tbl>
    <w:p w:rsidR="002C1621" w:rsidRPr="002C1621" w:rsidRDefault="002C1621" w:rsidP="002C1621">
      <w:pPr>
        <w:widowControl/>
        <w:ind w:left="720"/>
        <w:rPr>
          <w:rFonts w:ascii="Times New Roman" w:eastAsia="Times New Roman" w:hAnsi="Times New Roman" w:cs="Times New Roman"/>
          <w:color w:val="FF0000"/>
          <w:kern w:val="0"/>
          <w:szCs w:val="24"/>
        </w:rPr>
      </w:pPr>
    </w:p>
    <w:p w:rsidR="002C1621" w:rsidRPr="002C1621" w:rsidRDefault="002C1621" w:rsidP="002C1621">
      <w:pPr>
        <w:widowControl/>
        <w:ind w:left="720"/>
        <w:rPr>
          <w:rFonts w:ascii="Times New Roman" w:eastAsia="Times New Roman" w:hAnsi="Times New Roman" w:cs="Times New Roman"/>
          <w:kern w:val="0"/>
          <w:szCs w:val="24"/>
        </w:rPr>
      </w:pPr>
      <w:r w:rsidRPr="002C1621">
        <w:rPr>
          <w:rFonts w:ascii="Times New Roman" w:eastAsia="Times New Roman" w:hAnsi="Times New Roman" w:cs="Times New Roman"/>
          <w:color w:val="FF0000"/>
          <w:kern w:val="0"/>
          <w:szCs w:val="24"/>
        </w:rPr>
        <w:t>The uncollectible accounts expense account shows the company estimates it cost $750 in January to sell to customers who will not pay</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The accounts receivable account shows the company's customers owe it $50,000</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The allowance for uncollectible accounts shows the company expects its customers to be unable to pay $750 of the $50,000 they owe</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Based on accounts receivable and the allowance for uncollectible accounts, the company would predict it could collect $49,250 ($50,000 - $750) from its credit customers</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This knowledge of expected cash collections is very important for managers who must plan their cash expenditures</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Even though its customers owe it $50,000, management would not plan on spending the full $50,000 because $750 will probably never be received</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kern w:val="0"/>
          <w:szCs w:val="24"/>
        </w:rPr>
        <w:lastRenderedPageBreak/>
        <w:t xml:space="preserve"> </w:t>
      </w:r>
      <w:r w:rsidRPr="002C1621">
        <w:rPr>
          <w:rFonts w:ascii="Times New Roman" w:eastAsia="Times New Roman" w:hAnsi="Times New Roman" w:cs="Times New Roman"/>
          <w:kern w:val="0"/>
          <w:szCs w:val="24"/>
        </w:rPr>
        <w:br/>
        <w:t xml:space="preserve">  </w:t>
      </w:r>
    </w:p>
    <w:p w:rsidR="002C1621" w:rsidRPr="002C1621" w:rsidRDefault="002C1621" w:rsidP="002C1621">
      <w:pPr>
        <w:widowControl/>
        <w:spacing w:before="100" w:beforeAutospacing="1" w:after="100" w:afterAutospacing="1"/>
        <w:ind w:left="720"/>
        <w:rPr>
          <w:rFonts w:ascii="Times New Roman" w:eastAsia="Times New Roman" w:hAnsi="Times New Roman" w:cs="Times New Roman"/>
          <w:kern w:val="0"/>
          <w:szCs w:val="24"/>
        </w:rPr>
      </w:pPr>
      <w:r w:rsidRPr="002C1621">
        <w:rPr>
          <w:rFonts w:ascii="Times New Roman" w:eastAsia="Times New Roman" w:hAnsi="Times New Roman" w:cs="Times New Roman"/>
          <w:kern w:val="0"/>
          <w:szCs w:val="24"/>
        </w:rPr>
        <w:t xml:space="preserve">Estimating uncollectible accounts receivable </w:t>
      </w:r>
    </w:p>
    <w:p w:rsidR="002C1621" w:rsidRPr="002C1621" w:rsidRDefault="002C1621" w:rsidP="002C1621">
      <w:pPr>
        <w:widowControl/>
        <w:spacing w:before="100" w:beforeAutospacing="1" w:after="100" w:afterAutospacing="1"/>
        <w:ind w:left="720"/>
        <w:rPr>
          <w:rFonts w:ascii="Times New Roman" w:eastAsia="Times New Roman" w:hAnsi="Times New Roman" w:cs="Times New Roman"/>
          <w:kern w:val="0"/>
          <w:szCs w:val="24"/>
        </w:rPr>
      </w:pPr>
      <w:r w:rsidRPr="002C1621">
        <w:rPr>
          <w:rFonts w:ascii="Times New Roman" w:eastAsia="Times New Roman" w:hAnsi="Times New Roman" w:cs="Times New Roman"/>
          <w:color w:val="FF0000"/>
          <w:kern w:val="0"/>
          <w:szCs w:val="24"/>
        </w:rPr>
        <w:t>As illustrated in the previous section, the estimation of uncollectible accounts receivable results in a journal entry in which uncollectible accounts expense is debited and the allowance for uncollectible accounts is credited</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This entry reduces stockholders' equity and assets</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kern w:val="0"/>
          <w:szCs w:val="24"/>
        </w:rPr>
        <w:t xml:space="preserve"> </w:t>
      </w:r>
    </w:p>
    <w:p w:rsidR="002C1621" w:rsidRPr="002C1621" w:rsidRDefault="002C1621" w:rsidP="002C1621">
      <w:pPr>
        <w:widowControl/>
        <w:spacing w:before="100" w:beforeAutospacing="1" w:after="100" w:afterAutospacing="1"/>
        <w:ind w:left="720"/>
        <w:rPr>
          <w:rFonts w:ascii="Times New Roman" w:eastAsia="Times New Roman" w:hAnsi="Times New Roman" w:cs="Times New Roman"/>
          <w:kern w:val="0"/>
          <w:szCs w:val="24"/>
        </w:rPr>
      </w:pPr>
      <w:r w:rsidRPr="002C1621">
        <w:rPr>
          <w:rFonts w:ascii="Times New Roman" w:eastAsia="Times New Roman" w:hAnsi="Times New Roman" w:cs="Times New Roman"/>
          <w:color w:val="FF0000"/>
          <w:kern w:val="0"/>
          <w:szCs w:val="24"/>
        </w:rPr>
        <w:t>Two different methods commonly used to estimate uncollectible accounts receivable are the percentage of sales method and the accounts receivable aging method</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Both methods result in the same accounts being debited and credited, but because the methods are different they usually result in different dollar amounts for the journal entry</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The following paragraphs examine both methods</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kern w:val="0"/>
          <w:szCs w:val="24"/>
        </w:rPr>
        <w:t xml:space="preserve"> </w:t>
      </w:r>
      <w:r w:rsidRPr="002C1621">
        <w:rPr>
          <w:rFonts w:ascii="Times New Roman" w:eastAsia="Times New Roman" w:hAnsi="Times New Roman" w:cs="Times New Roman"/>
          <w:kern w:val="0"/>
          <w:szCs w:val="24"/>
        </w:rPr>
        <w:br/>
        <w:t xml:space="preserve">  </w:t>
      </w:r>
      <w:r w:rsidRPr="002C1621">
        <w:rPr>
          <w:rFonts w:ascii="Times New Roman" w:eastAsia="Times New Roman" w:hAnsi="Times New Roman" w:cs="Times New Roman"/>
          <w:kern w:val="0"/>
          <w:szCs w:val="24"/>
        </w:rPr>
        <w:br/>
        <w:t xml:space="preserve">  </w:t>
      </w:r>
    </w:p>
    <w:p w:rsidR="002C1621" w:rsidRPr="002C1621" w:rsidRDefault="002C1621" w:rsidP="002C1621">
      <w:pPr>
        <w:widowControl/>
        <w:ind w:left="1440"/>
        <w:rPr>
          <w:rFonts w:ascii="Times New Roman" w:eastAsia="Times New Roman" w:hAnsi="Times New Roman" w:cs="Times New Roman"/>
          <w:kern w:val="0"/>
          <w:szCs w:val="24"/>
        </w:rPr>
      </w:pPr>
      <w:r w:rsidRPr="002C1621">
        <w:rPr>
          <w:rFonts w:ascii="Times New Roman" w:eastAsia="Times New Roman" w:hAnsi="Times New Roman" w:cs="Times New Roman"/>
          <w:kern w:val="0"/>
          <w:szCs w:val="24"/>
        </w:rPr>
        <w:t xml:space="preserve">Percentage of sales method of estimating uncollectible accounts receivable </w:t>
      </w:r>
    </w:p>
    <w:p w:rsidR="002C1621" w:rsidRPr="002C1621" w:rsidRDefault="002C1621" w:rsidP="002C1621">
      <w:pPr>
        <w:widowControl/>
        <w:spacing w:before="100" w:beforeAutospacing="1" w:after="100" w:afterAutospacing="1"/>
        <w:ind w:left="1440"/>
        <w:rPr>
          <w:rFonts w:ascii="Times New Roman" w:eastAsia="Times New Roman" w:hAnsi="Times New Roman" w:cs="Times New Roman"/>
          <w:kern w:val="0"/>
          <w:szCs w:val="24"/>
        </w:rPr>
      </w:pPr>
      <w:r w:rsidRPr="002C1621">
        <w:rPr>
          <w:rFonts w:ascii="Times New Roman" w:eastAsia="Times New Roman" w:hAnsi="Times New Roman" w:cs="Times New Roman"/>
          <w:color w:val="FF0000"/>
          <w:kern w:val="0"/>
          <w:szCs w:val="24"/>
        </w:rPr>
        <w:t>The percentage of sales method of estimating uncollectible accounts receivable is based on the relationship between uncollectible accounts receivable and the credit sales that produced them</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For example, consider the following recent history of the Nicholas Corporation</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p>
    <w:tbl>
      <w:tblPr>
        <w:tblStyle w:val="TableNormal"/>
        <w:tblW w:w="6465" w:type="dxa"/>
        <w:jc w:val="center"/>
        <w:tblCellSpacing w:w="0" w:type="dxa"/>
        <w:tblInd w:w="0" w:type="dxa"/>
        <w:shd w:val="clear" w:color="auto" w:fill="FFFFCC"/>
        <w:tblCellMar>
          <w:left w:w="0" w:type="dxa"/>
          <w:right w:w="0" w:type="dxa"/>
        </w:tblCellMar>
        <w:tblLook w:val="04A0" w:firstRow="1" w:lastRow="0" w:firstColumn="1" w:lastColumn="0" w:noHBand="0" w:noVBand="1"/>
      </w:tblPr>
      <w:tblGrid>
        <w:gridCol w:w="914"/>
        <w:gridCol w:w="1502"/>
        <w:gridCol w:w="2351"/>
        <w:gridCol w:w="1698"/>
      </w:tblGrid>
      <w:tr w:rsidR="002C1621" w:rsidRPr="002C1621" w:rsidTr="002C1621">
        <w:trPr>
          <w:tblCellSpacing w:w="0" w:type="dxa"/>
          <w:jc w:val="center"/>
        </w:trPr>
        <w:tc>
          <w:tcPr>
            <w:tcW w:w="700" w:type="pct"/>
            <w:shd w:val="clear" w:color="auto" w:fill="FFFFCC"/>
            <w:vAlign w:val="bottom"/>
            <w:hideMark/>
          </w:tcPr>
          <w:p w:rsidR="002C1621" w:rsidRPr="002C1621" w:rsidRDefault="002C1621" w:rsidP="002C1621">
            <w:pPr>
              <w:widowControl/>
              <w:jc w:val="center"/>
              <w:rPr>
                <w:szCs w:val="24"/>
              </w:rPr>
            </w:pPr>
            <w:r w:rsidRPr="002C1621">
              <w:rPr>
                <w:szCs w:val="24"/>
                <w:u w:val="single"/>
              </w:rPr>
              <w:lastRenderedPageBreak/>
              <w:t>Year</w:t>
            </w:r>
            <w:r w:rsidRPr="002C1621">
              <w:rPr>
                <w:szCs w:val="24"/>
              </w:rPr>
              <w:t xml:space="preserve"> </w:t>
            </w:r>
          </w:p>
        </w:tc>
        <w:tc>
          <w:tcPr>
            <w:tcW w:w="1150" w:type="pct"/>
            <w:shd w:val="clear" w:color="auto" w:fill="FFFFCC"/>
            <w:vAlign w:val="bottom"/>
            <w:hideMark/>
          </w:tcPr>
          <w:p w:rsidR="002C1621" w:rsidRPr="002C1621" w:rsidRDefault="002C1621" w:rsidP="002C1621">
            <w:pPr>
              <w:widowControl/>
              <w:jc w:val="center"/>
              <w:rPr>
                <w:szCs w:val="24"/>
              </w:rPr>
            </w:pPr>
            <w:r w:rsidRPr="002C1621">
              <w:rPr>
                <w:szCs w:val="24"/>
                <w:u w:val="single"/>
              </w:rPr>
              <w:t>Credit Sales</w:t>
            </w:r>
            <w:r w:rsidRPr="002C1621">
              <w:rPr>
                <w:szCs w:val="24"/>
              </w:rPr>
              <w:t xml:space="preserve"> </w:t>
            </w:r>
          </w:p>
        </w:tc>
        <w:tc>
          <w:tcPr>
            <w:tcW w:w="1800" w:type="pct"/>
            <w:shd w:val="clear" w:color="auto" w:fill="FFFFCC"/>
            <w:vAlign w:val="bottom"/>
            <w:hideMark/>
          </w:tcPr>
          <w:p w:rsidR="002C1621" w:rsidRPr="002C1621" w:rsidRDefault="002C1621" w:rsidP="002C1621">
            <w:pPr>
              <w:widowControl/>
              <w:jc w:val="center"/>
              <w:rPr>
                <w:szCs w:val="24"/>
              </w:rPr>
            </w:pPr>
            <w:r w:rsidRPr="002C1621">
              <w:rPr>
                <w:szCs w:val="24"/>
              </w:rPr>
              <w:t xml:space="preserve">Accounts Receivable </w:t>
            </w:r>
            <w:r w:rsidRPr="002C1621">
              <w:rPr>
                <w:szCs w:val="24"/>
              </w:rPr>
              <w:br/>
            </w:r>
            <w:r w:rsidRPr="002C1621">
              <w:rPr>
                <w:szCs w:val="24"/>
                <w:u w:val="single"/>
              </w:rPr>
              <w:t>Not Collected</w:t>
            </w:r>
            <w:r w:rsidRPr="002C1621">
              <w:rPr>
                <w:szCs w:val="24"/>
              </w:rPr>
              <w:t xml:space="preserve"> </w:t>
            </w:r>
          </w:p>
        </w:tc>
        <w:tc>
          <w:tcPr>
            <w:tcW w:w="1300" w:type="pct"/>
            <w:shd w:val="clear" w:color="auto" w:fill="FFFFCC"/>
            <w:vAlign w:val="bottom"/>
            <w:hideMark/>
          </w:tcPr>
          <w:p w:rsidR="002C1621" w:rsidRPr="002C1621" w:rsidRDefault="002C1621" w:rsidP="002C1621">
            <w:pPr>
              <w:widowControl/>
              <w:jc w:val="center"/>
              <w:rPr>
                <w:szCs w:val="24"/>
              </w:rPr>
            </w:pPr>
            <w:r w:rsidRPr="002C1621">
              <w:rPr>
                <w:szCs w:val="24"/>
              </w:rPr>
              <w:t xml:space="preserve">Percentage </w:t>
            </w:r>
            <w:r w:rsidRPr="002C1621">
              <w:rPr>
                <w:szCs w:val="24"/>
              </w:rPr>
              <w:br/>
            </w:r>
            <w:r w:rsidRPr="002C1621">
              <w:rPr>
                <w:szCs w:val="24"/>
                <w:u w:val="single"/>
              </w:rPr>
              <w:t>Not Collected</w:t>
            </w:r>
            <w:r w:rsidRPr="002C1621">
              <w:rPr>
                <w:szCs w:val="24"/>
              </w:rPr>
              <w:t xml:space="preserve"> </w:t>
            </w:r>
          </w:p>
        </w:tc>
      </w:tr>
      <w:tr w:rsidR="002C1621" w:rsidRPr="002C1621" w:rsidTr="002C1621">
        <w:trPr>
          <w:tblCellSpacing w:w="0" w:type="dxa"/>
          <w:jc w:val="center"/>
        </w:trPr>
        <w:tc>
          <w:tcPr>
            <w:tcW w:w="700" w:type="pct"/>
            <w:shd w:val="clear" w:color="auto" w:fill="FFFFCC"/>
            <w:hideMark/>
          </w:tcPr>
          <w:p w:rsidR="002C1621" w:rsidRPr="002C1621" w:rsidRDefault="002C1621" w:rsidP="002C1621">
            <w:pPr>
              <w:widowControl/>
              <w:jc w:val="center"/>
              <w:rPr>
                <w:szCs w:val="24"/>
              </w:rPr>
            </w:pPr>
            <w:r w:rsidRPr="002C1621">
              <w:rPr>
                <w:szCs w:val="24"/>
              </w:rPr>
              <w:t xml:space="preserve">1 </w:t>
            </w:r>
          </w:p>
        </w:tc>
        <w:tc>
          <w:tcPr>
            <w:tcW w:w="1150" w:type="pct"/>
            <w:shd w:val="clear" w:color="auto" w:fill="FFFFCC"/>
            <w:hideMark/>
          </w:tcPr>
          <w:p w:rsidR="002C1621" w:rsidRPr="002C1621" w:rsidRDefault="002C1621" w:rsidP="002C1621">
            <w:pPr>
              <w:widowControl/>
              <w:jc w:val="center"/>
              <w:rPr>
                <w:szCs w:val="24"/>
              </w:rPr>
            </w:pPr>
            <w:r w:rsidRPr="002C1621">
              <w:rPr>
                <w:szCs w:val="24"/>
              </w:rPr>
              <w:t xml:space="preserve">$80,000 </w:t>
            </w:r>
          </w:p>
        </w:tc>
        <w:tc>
          <w:tcPr>
            <w:tcW w:w="1800" w:type="pct"/>
            <w:shd w:val="clear" w:color="auto" w:fill="FFFFCC"/>
            <w:hideMark/>
          </w:tcPr>
          <w:p w:rsidR="002C1621" w:rsidRPr="002C1621" w:rsidRDefault="002C1621" w:rsidP="002C1621">
            <w:pPr>
              <w:widowControl/>
              <w:jc w:val="center"/>
              <w:rPr>
                <w:szCs w:val="24"/>
              </w:rPr>
            </w:pPr>
            <w:r w:rsidRPr="002C1621">
              <w:rPr>
                <w:szCs w:val="24"/>
              </w:rPr>
              <w:t xml:space="preserve">$1,000 </w:t>
            </w:r>
          </w:p>
        </w:tc>
        <w:tc>
          <w:tcPr>
            <w:tcW w:w="1300" w:type="pct"/>
            <w:shd w:val="clear" w:color="auto" w:fill="FFFFCC"/>
            <w:hideMark/>
          </w:tcPr>
          <w:p w:rsidR="002C1621" w:rsidRPr="002C1621" w:rsidRDefault="002C1621" w:rsidP="002C1621">
            <w:pPr>
              <w:widowControl/>
              <w:jc w:val="center"/>
              <w:rPr>
                <w:szCs w:val="24"/>
              </w:rPr>
            </w:pPr>
            <w:r w:rsidRPr="002C1621">
              <w:rPr>
                <w:szCs w:val="24"/>
              </w:rPr>
              <w:t>1</w:t>
            </w:r>
            <w:r w:rsidR="00AD3C67">
              <w:rPr>
                <w:szCs w:val="24"/>
              </w:rPr>
              <w:t>.</w:t>
            </w:r>
            <w:r w:rsidR="00AD3C67">
              <w:rPr>
                <w:szCs w:val="24"/>
              </w:rPr>
              <w:br/>
            </w:r>
            <w:r w:rsidR="00AD3C67">
              <w:rPr>
                <w:szCs w:val="24"/>
              </w:rPr>
              <w:br/>
            </w:r>
            <w:r w:rsidR="00AD3C67">
              <w:rPr>
                <w:szCs w:val="24"/>
              </w:rPr>
              <w:br/>
            </w:r>
            <w:r w:rsidRPr="002C1621">
              <w:rPr>
                <w:szCs w:val="24"/>
              </w:rPr>
              <w:t xml:space="preserve">25% </w:t>
            </w:r>
          </w:p>
        </w:tc>
      </w:tr>
      <w:tr w:rsidR="002C1621" w:rsidRPr="002C1621" w:rsidTr="002C1621">
        <w:trPr>
          <w:tblCellSpacing w:w="0" w:type="dxa"/>
          <w:jc w:val="center"/>
        </w:trPr>
        <w:tc>
          <w:tcPr>
            <w:tcW w:w="700" w:type="pct"/>
            <w:shd w:val="clear" w:color="auto" w:fill="FFFFCC"/>
            <w:hideMark/>
          </w:tcPr>
          <w:p w:rsidR="002C1621" w:rsidRPr="002C1621" w:rsidRDefault="002C1621" w:rsidP="002C1621">
            <w:pPr>
              <w:widowControl/>
              <w:jc w:val="center"/>
              <w:rPr>
                <w:szCs w:val="24"/>
              </w:rPr>
            </w:pPr>
            <w:r w:rsidRPr="002C1621">
              <w:rPr>
                <w:szCs w:val="24"/>
              </w:rPr>
              <w:t xml:space="preserve">2 </w:t>
            </w:r>
          </w:p>
        </w:tc>
        <w:tc>
          <w:tcPr>
            <w:tcW w:w="1150" w:type="pct"/>
            <w:shd w:val="clear" w:color="auto" w:fill="FFFFCC"/>
            <w:hideMark/>
          </w:tcPr>
          <w:p w:rsidR="002C1621" w:rsidRPr="002C1621" w:rsidRDefault="002C1621" w:rsidP="002C1621">
            <w:pPr>
              <w:widowControl/>
              <w:jc w:val="center"/>
              <w:rPr>
                <w:szCs w:val="24"/>
              </w:rPr>
            </w:pPr>
            <w:r w:rsidRPr="002C1621">
              <w:rPr>
                <w:szCs w:val="24"/>
              </w:rPr>
              <w:t xml:space="preserve">$90,000 </w:t>
            </w:r>
          </w:p>
        </w:tc>
        <w:tc>
          <w:tcPr>
            <w:tcW w:w="1800" w:type="pct"/>
            <w:shd w:val="clear" w:color="auto" w:fill="FFFFCC"/>
            <w:hideMark/>
          </w:tcPr>
          <w:p w:rsidR="002C1621" w:rsidRPr="002C1621" w:rsidRDefault="002C1621" w:rsidP="002C1621">
            <w:pPr>
              <w:widowControl/>
              <w:jc w:val="center"/>
              <w:rPr>
                <w:szCs w:val="24"/>
              </w:rPr>
            </w:pPr>
            <w:r w:rsidRPr="002C1621">
              <w:rPr>
                <w:szCs w:val="24"/>
              </w:rPr>
              <w:t xml:space="preserve">$1,215 </w:t>
            </w:r>
          </w:p>
        </w:tc>
        <w:tc>
          <w:tcPr>
            <w:tcW w:w="1300" w:type="pct"/>
            <w:shd w:val="clear" w:color="auto" w:fill="FFFFCC"/>
            <w:hideMark/>
          </w:tcPr>
          <w:p w:rsidR="002C1621" w:rsidRPr="002C1621" w:rsidRDefault="002C1621" w:rsidP="002C1621">
            <w:pPr>
              <w:widowControl/>
              <w:jc w:val="center"/>
              <w:rPr>
                <w:szCs w:val="24"/>
              </w:rPr>
            </w:pPr>
            <w:r w:rsidRPr="002C1621">
              <w:rPr>
                <w:szCs w:val="24"/>
              </w:rPr>
              <w:t>1</w:t>
            </w:r>
            <w:r w:rsidR="00AD3C67">
              <w:rPr>
                <w:szCs w:val="24"/>
              </w:rPr>
              <w:t>.</w:t>
            </w:r>
            <w:r w:rsidR="00AD3C67">
              <w:rPr>
                <w:szCs w:val="24"/>
              </w:rPr>
              <w:br/>
            </w:r>
            <w:r w:rsidR="00AD3C67">
              <w:rPr>
                <w:szCs w:val="24"/>
              </w:rPr>
              <w:br/>
            </w:r>
            <w:r w:rsidR="00AD3C67">
              <w:rPr>
                <w:szCs w:val="24"/>
              </w:rPr>
              <w:br/>
            </w:r>
            <w:r w:rsidRPr="002C1621">
              <w:rPr>
                <w:szCs w:val="24"/>
              </w:rPr>
              <w:t xml:space="preserve">35% </w:t>
            </w:r>
          </w:p>
        </w:tc>
      </w:tr>
      <w:tr w:rsidR="002C1621" w:rsidRPr="002C1621" w:rsidTr="002C1621">
        <w:trPr>
          <w:tblCellSpacing w:w="0" w:type="dxa"/>
          <w:jc w:val="center"/>
        </w:trPr>
        <w:tc>
          <w:tcPr>
            <w:tcW w:w="700" w:type="pct"/>
            <w:shd w:val="clear" w:color="auto" w:fill="FFFFCC"/>
            <w:hideMark/>
          </w:tcPr>
          <w:p w:rsidR="002C1621" w:rsidRPr="002C1621" w:rsidRDefault="002C1621" w:rsidP="002C1621">
            <w:pPr>
              <w:widowControl/>
              <w:jc w:val="center"/>
              <w:rPr>
                <w:szCs w:val="24"/>
              </w:rPr>
            </w:pPr>
            <w:r w:rsidRPr="002C1621">
              <w:rPr>
                <w:szCs w:val="24"/>
              </w:rPr>
              <w:t xml:space="preserve">3 </w:t>
            </w:r>
          </w:p>
        </w:tc>
        <w:tc>
          <w:tcPr>
            <w:tcW w:w="1150" w:type="pct"/>
            <w:shd w:val="clear" w:color="auto" w:fill="FFFFCC"/>
            <w:hideMark/>
          </w:tcPr>
          <w:p w:rsidR="002C1621" w:rsidRPr="002C1621" w:rsidRDefault="002C1621" w:rsidP="002C1621">
            <w:pPr>
              <w:widowControl/>
              <w:jc w:val="center"/>
              <w:rPr>
                <w:szCs w:val="24"/>
              </w:rPr>
            </w:pPr>
            <w:r w:rsidRPr="002C1621">
              <w:rPr>
                <w:szCs w:val="24"/>
                <w:u w:val="single"/>
              </w:rPr>
              <w:t>$110,000</w:t>
            </w:r>
            <w:r w:rsidRPr="002C1621">
              <w:rPr>
                <w:szCs w:val="24"/>
              </w:rPr>
              <w:t xml:space="preserve"> </w:t>
            </w:r>
          </w:p>
        </w:tc>
        <w:tc>
          <w:tcPr>
            <w:tcW w:w="1800" w:type="pct"/>
            <w:shd w:val="clear" w:color="auto" w:fill="FFFFCC"/>
            <w:hideMark/>
          </w:tcPr>
          <w:p w:rsidR="002C1621" w:rsidRPr="002C1621" w:rsidRDefault="002C1621" w:rsidP="002C1621">
            <w:pPr>
              <w:widowControl/>
              <w:jc w:val="center"/>
              <w:rPr>
                <w:szCs w:val="24"/>
              </w:rPr>
            </w:pPr>
            <w:r w:rsidRPr="002C1621">
              <w:rPr>
                <w:szCs w:val="24"/>
                <w:u w:val="single"/>
              </w:rPr>
              <w:t>$1,705</w:t>
            </w:r>
            <w:r w:rsidRPr="002C1621">
              <w:rPr>
                <w:szCs w:val="24"/>
              </w:rPr>
              <w:t xml:space="preserve"> </w:t>
            </w:r>
          </w:p>
        </w:tc>
        <w:tc>
          <w:tcPr>
            <w:tcW w:w="1300" w:type="pct"/>
            <w:shd w:val="clear" w:color="auto" w:fill="FFFFCC"/>
            <w:hideMark/>
          </w:tcPr>
          <w:p w:rsidR="002C1621" w:rsidRPr="002C1621" w:rsidRDefault="002C1621" w:rsidP="002C1621">
            <w:pPr>
              <w:widowControl/>
              <w:jc w:val="center"/>
              <w:rPr>
                <w:szCs w:val="24"/>
              </w:rPr>
            </w:pPr>
            <w:r w:rsidRPr="002C1621">
              <w:rPr>
                <w:szCs w:val="24"/>
              </w:rPr>
              <w:t>1</w:t>
            </w:r>
            <w:r w:rsidR="00AD3C67">
              <w:rPr>
                <w:szCs w:val="24"/>
              </w:rPr>
              <w:t>.</w:t>
            </w:r>
            <w:r w:rsidR="00AD3C67">
              <w:rPr>
                <w:szCs w:val="24"/>
              </w:rPr>
              <w:br/>
            </w:r>
            <w:r w:rsidR="00AD3C67">
              <w:rPr>
                <w:szCs w:val="24"/>
              </w:rPr>
              <w:br/>
            </w:r>
            <w:r w:rsidR="00AD3C67">
              <w:rPr>
                <w:szCs w:val="24"/>
              </w:rPr>
              <w:br/>
            </w:r>
            <w:r w:rsidRPr="002C1621">
              <w:rPr>
                <w:szCs w:val="24"/>
              </w:rPr>
              <w:t xml:space="preserve">55% </w:t>
            </w:r>
          </w:p>
        </w:tc>
      </w:tr>
      <w:tr w:rsidR="002C1621" w:rsidRPr="002C1621" w:rsidTr="002C1621">
        <w:trPr>
          <w:tblCellSpacing w:w="0" w:type="dxa"/>
          <w:jc w:val="center"/>
        </w:trPr>
        <w:tc>
          <w:tcPr>
            <w:tcW w:w="700" w:type="pct"/>
            <w:shd w:val="clear" w:color="auto" w:fill="FFFFCC"/>
            <w:hideMark/>
          </w:tcPr>
          <w:p w:rsidR="002C1621" w:rsidRPr="002C1621" w:rsidRDefault="002C1621" w:rsidP="002C1621">
            <w:pPr>
              <w:widowControl/>
              <w:jc w:val="center"/>
              <w:rPr>
                <w:szCs w:val="24"/>
              </w:rPr>
            </w:pPr>
            <w:r w:rsidRPr="002C1621">
              <w:rPr>
                <w:szCs w:val="24"/>
              </w:rPr>
              <w:t xml:space="preserve">Totals </w:t>
            </w:r>
          </w:p>
        </w:tc>
        <w:tc>
          <w:tcPr>
            <w:tcW w:w="1150" w:type="pct"/>
            <w:shd w:val="clear" w:color="auto" w:fill="FFFFCC"/>
            <w:hideMark/>
          </w:tcPr>
          <w:p w:rsidR="002C1621" w:rsidRPr="002C1621" w:rsidRDefault="002C1621" w:rsidP="002C1621">
            <w:pPr>
              <w:widowControl/>
              <w:jc w:val="center"/>
              <w:rPr>
                <w:szCs w:val="24"/>
              </w:rPr>
            </w:pPr>
            <w:r w:rsidRPr="002C1621">
              <w:rPr>
                <w:szCs w:val="24"/>
              </w:rPr>
              <w:t xml:space="preserve">$280,000 </w:t>
            </w:r>
          </w:p>
        </w:tc>
        <w:tc>
          <w:tcPr>
            <w:tcW w:w="1800" w:type="pct"/>
            <w:shd w:val="clear" w:color="auto" w:fill="FFFFCC"/>
            <w:hideMark/>
          </w:tcPr>
          <w:p w:rsidR="002C1621" w:rsidRPr="002C1621" w:rsidRDefault="002C1621" w:rsidP="002C1621">
            <w:pPr>
              <w:widowControl/>
              <w:jc w:val="center"/>
              <w:rPr>
                <w:szCs w:val="24"/>
              </w:rPr>
            </w:pPr>
            <w:r w:rsidRPr="002C1621">
              <w:rPr>
                <w:szCs w:val="24"/>
              </w:rPr>
              <w:t xml:space="preserve">$3,920 </w:t>
            </w:r>
          </w:p>
        </w:tc>
        <w:tc>
          <w:tcPr>
            <w:tcW w:w="1300" w:type="pct"/>
            <w:shd w:val="clear" w:color="auto" w:fill="FFFFCC"/>
            <w:hideMark/>
          </w:tcPr>
          <w:p w:rsidR="002C1621" w:rsidRPr="002C1621" w:rsidRDefault="002C1621" w:rsidP="002C1621">
            <w:pPr>
              <w:widowControl/>
              <w:jc w:val="center"/>
              <w:rPr>
                <w:szCs w:val="24"/>
              </w:rPr>
            </w:pPr>
            <w:r w:rsidRPr="002C1621">
              <w:rPr>
                <w:szCs w:val="24"/>
              </w:rPr>
              <w:t>1</w:t>
            </w:r>
            <w:r w:rsidR="00AD3C67">
              <w:rPr>
                <w:szCs w:val="24"/>
              </w:rPr>
              <w:t>.</w:t>
            </w:r>
            <w:r w:rsidR="00AD3C67">
              <w:rPr>
                <w:szCs w:val="24"/>
              </w:rPr>
              <w:br/>
            </w:r>
            <w:r w:rsidR="00AD3C67">
              <w:rPr>
                <w:szCs w:val="24"/>
              </w:rPr>
              <w:br/>
            </w:r>
            <w:r w:rsidR="00AD3C67">
              <w:rPr>
                <w:szCs w:val="24"/>
              </w:rPr>
              <w:br/>
            </w:r>
            <w:r w:rsidRPr="002C1621">
              <w:rPr>
                <w:szCs w:val="24"/>
              </w:rPr>
              <w:t xml:space="preserve">40% </w:t>
            </w:r>
          </w:p>
        </w:tc>
      </w:tr>
    </w:tbl>
    <w:p w:rsidR="002C1621" w:rsidRPr="002C1621" w:rsidRDefault="002C1621" w:rsidP="002C1621">
      <w:pPr>
        <w:widowControl/>
        <w:ind w:left="1440"/>
        <w:rPr>
          <w:rFonts w:ascii="Times New Roman" w:eastAsia="Times New Roman" w:hAnsi="Times New Roman" w:cs="Times New Roman"/>
          <w:color w:val="FF0000"/>
          <w:kern w:val="0"/>
          <w:szCs w:val="24"/>
        </w:rPr>
      </w:pPr>
    </w:p>
    <w:p w:rsidR="002C1621" w:rsidRPr="002C1621" w:rsidRDefault="002C1621" w:rsidP="002C1621">
      <w:pPr>
        <w:widowControl/>
        <w:ind w:left="1440"/>
        <w:rPr>
          <w:rFonts w:ascii="Times New Roman" w:eastAsia="Times New Roman" w:hAnsi="Times New Roman" w:cs="Times New Roman"/>
          <w:kern w:val="0"/>
          <w:szCs w:val="24"/>
        </w:rPr>
      </w:pPr>
      <w:r w:rsidRPr="002C1621">
        <w:rPr>
          <w:rFonts w:ascii="Times New Roman" w:eastAsia="Times New Roman" w:hAnsi="Times New Roman" w:cs="Times New Roman"/>
          <w:color w:val="FF0000"/>
          <w:kern w:val="0"/>
          <w:szCs w:val="24"/>
        </w:rPr>
        <w:t>The Nicholas Corporation could have easily obtained the above credit sales information from its general ledger</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The total dollar amount of debits to accounts receivable represent credit sales</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Similarly, the dollar amount of accounts receivable not collected could have been obtained through an analysis of the company's accounts receivable subsidiary ledger</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For example, if the company made $500 credit sales to a customer in year 2 and the company later determined the customer was not going to pay the $500, the $500 would be considered part of the year 2 credit sales that are uncollectible</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The above table shows customers owing $1,215 did not pay in year 2 or year 3 and are not expected to pay</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w:t>
      </w:r>
      <w:proofErr w:type="gramStart"/>
      <w:r w:rsidRPr="002C1621">
        <w:rPr>
          <w:rFonts w:ascii="Times New Roman" w:eastAsia="Times New Roman" w:hAnsi="Times New Roman" w:cs="Times New Roman"/>
          <w:color w:val="FF0000"/>
          <w:kern w:val="0"/>
          <w:szCs w:val="24"/>
        </w:rPr>
        <w:t>Viewed another way, 1</w:t>
      </w:r>
      <w:r w:rsidR="00AD3C67">
        <w:rPr>
          <w:rFonts w:ascii="Times New Roman" w:eastAsia="Times New Roman" w:hAnsi="Times New Roman" w:cs="Times New Roman"/>
          <w:color w:val="FF0000"/>
          <w:kern w:val="0"/>
          <w:szCs w:val="24"/>
        </w:rPr>
        <w:t>.</w:t>
      </w:r>
      <w:proofErr w:type="gramEnd"/>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lastRenderedPageBreak/>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35% ($1,215 / $90,000) of year 2 credit sales were uncollectible</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kern w:val="0"/>
          <w:szCs w:val="24"/>
        </w:rPr>
        <w:t xml:space="preserve"> </w:t>
      </w:r>
    </w:p>
    <w:p w:rsidR="002C1621" w:rsidRPr="002C1621" w:rsidRDefault="002C1621" w:rsidP="002C1621">
      <w:pPr>
        <w:widowControl/>
        <w:spacing w:before="100" w:beforeAutospacing="1" w:after="100" w:afterAutospacing="1"/>
        <w:ind w:left="1440"/>
        <w:rPr>
          <w:rFonts w:ascii="Times New Roman" w:eastAsia="Times New Roman" w:hAnsi="Times New Roman" w:cs="Times New Roman"/>
          <w:kern w:val="0"/>
          <w:szCs w:val="24"/>
        </w:rPr>
      </w:pPr>
      <w:r w:rsidRPr="002C1621">
        <w:rPr>
          <w:rFonts w:ascii="Times New Roman" w:eastAsia="Times New Roman" w:hAnsi="Times New Roman" w:cs="Times New Roman"/>
          <w:color w:val="FF0000"/>
          <w:kern w:val="0"/>
          <w:szCs w:val="24"/>
        </w:rPr>
        <w:t>The Nicholas Corporation could use the above data to estimate its uncollectible accounts receivable in year 4</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For example, if the company had January credit sales of $15,000, it could estimate its uncollectible accounts receivable to be $210 ($15,000 </w:t>
      </w:r>
      <w:proofErr w:type="gramStart"/>
      <w:r w:rsidRPr="002C1621">
        <w:rPr>
          <w:rFonts w:ascii="Times New Roman" w:eastAsia="Times New Roman" w:hAnsi="Times New Roman" w:cs="Times New Roman"/>
          <w:color w:val="FF0000"/>
          <w:kern w:val="0"/>
          <w:szCs w:val="24"/>
        </w:rPr>
        <w:t xml:space="preserve">x </w:t>
      </w:r>
      <w:r w:rsidR="00AD3C67">
        <w:rPr>
          <w:rFonts w:ascii="Times New Roman" w:eastAsia="Times New Roman" w:hAnsi="Times New Roman" w:cs="Times New Roman"/>
          <w:color w:val="FF0000"/>
          <w:kern w:val="0"/>
          <w:szCs w:val="24"/>
        </w:rPr>
        <w:t>.</w:t>
      </w:r>
      <w:proofErr w:type="gramEnd"/>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014)</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w:t>
      </w:r>
      <w:proofErr w:type="gramStart"/>
      <w:r w:rsidRPr="002C1621">
        <w:rPr>
          <w:rFonts w:ascii="Times New Roman" w:eastAsia="Times New Roman" w:hAnsi="Times New Roman" w:cs="Times New Roman"/>
          <w:color w:val="FF0000"/>
          <w:kern w:val="0"/>
          <w:szCs w:val="24"/>
        </w:rPr>
        <w:t xml:space="preserve">The </w:t>
      </w:r>
      <w:r w:rsidR="00AD3C67">
        <w:rPr>
          <w:rFonts w:ascii="Times New Roman" w:eastAsia="Times New Roman" w:hAnsi="Times New Roman" w:cs="Times New Roman"/>
          <w:color w:val="FF0000"/>
          <w:kern w:val="0"/>
          <w:szCs w:val="24"/>
        </w:rPr>
        <w:t>.</w:t>
      </w:r>
      <w:proofErr w:type="gramEnd"/>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014 is the average percentage of uncollectible accounts receivable during year 1 through year 3</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On the other hand, since that data suggest uncollectible accounts are increasing, from 1</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proofErr w:type="gramStart"/>
      <w:r w:rsidRPr="002C1621">
        <w:rPr>
          <w:rFonts w:ascii="Times New Roman" w:eastAsia="Times New Roman" w:hAnsi="Times New Roman" w:cs="Times New Roman"/>
          <w:color w:val="FF0000"/>
          <w:kern w:val="0"/>
          <w:szCs w:val="24"/>
        </w:rPr>
        <w:t>25% in year 1 to 1</w:t>
      </w:r>
      <w:r w:rsidR="00AD3C67">
        <w:rPr>
          <w:rFonts w:ascii="Times New Roman" w:eastAsia="Times New Roman" w:hAnsi="Times New Roman" w:cs="Times New Roman"/>
          <w:color w:val="FF0000"/>
          <w:kern w:val="0"/>
          <w:szCs w:val="24"/>
        </w:rPr>
        <w:t>.</w:t>
      </w:r>
      <w:proofErr w:type="gramEnd"/>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55% in year 3, the company could estimate its uncollectible accounts receivable to be $255 ($15,000 </w:t>
      </w:r>
      <w:proofErr w:type="gramStart"/>
      <w:r w:rsidRPr="002C1621">
        <w:rPr>
          <w:rFonts w:ascii="Times New Roman" w:eastAsia="Times New Roman" w:hAnsi="Times New Roman" w:cs="Times New Roman"/>
          <w:color w:val="FF0000"/>
          <w:kern w:val="0"/>
          <w:szCs w:val="24"/>
        </w:rPr>
        <w:t xml:space="preserve">x </w:t>
      </w:r>
      <w:r w:rsidR="00AD3C67">
        <w:rPr>
          <w:rFonts w:ascii="Times New Roman" w:eastAsia="Times New Roman" w:hAnsi="Times New Roman" w:cs="Times New Roman"/>
          <w:color w:val="FF0000"/>
          <w:kern w:val="0"/>
          <w:szCs w:val="24"/>
        </w:rPr>
        <w:t>.</w:t>
      </w:r>
      <w:proofErr w:type="gramEnd"/>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017)</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w:t>
      </w:r>
      <w:proofErr w:type="gramStart"/>
      <w:r w:rsidRPr="002C1621">
        <w:rPr>
          <w:rFonts w:ascii="Times New Roman" w:eastAsia="Times New Roman" w:hAnsi="Times New Roman" w:cs="Times New Roman"/>
          <w:color w:val="FF0000"/>
          <w:kern w:val="0"/>
          <w:szCs w:val="24"/>
        </w:rPr>
        <w:t xml:space="preserve">The </w:t>
      </w:r>
      <w:r w:rsidR="00AD3C67">
        <w:rPr>
          <w:rFonts w:ascii="Times New Roman" w:eastAsia="Times New Roman" w:hAnsi="Times New Roman" w:cs="Times New Roman"/>
          <w:color w:val="FF0000"/>
          <w:kern w:val="0"/>
          <w:szCs w:val="24"/>
        </w:rPr>
        <w:t>.</w:t>
      </w:r>
      <w:proofErr w:type="gramEnd"/>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lastRenderedPageBreak/>
        <w:t xml:space="preserve">017 </w:t>
      </w:r>
      <w:proofErr w:type="gramStart"/>
      <w:r w:rsidRPr="002C1621">
        <w:rPr>
          <w:rFonts w:ascii="Times New Roman" w:eastAsia="Times New Roman" w:hAnsi="Times New Roman" w:cs="Times New Roman"/>
          <w:color w:val="FF0000"/>
          <w:kern w:val="0"/>
          <w:szCs w:val="24"/>
        </w:rPr>
        <w:t>reflects</w:t>
      </w:r>
      <w:proofErr w:type="gramEnd"/>
      <w:r w:rsidRPr="002C1621">
        <w:rPr>
          <w:rFonts w:ascii="Times New Roman" w:eastAsia="Times New Roman" w:hAnsi="Times New Roman" w:cs="Times New Roman"/>
          <w:color w:val="FF0000"/>
          <w:kern w:val="0"/>
          <w:szCs w:val="24"/>
        </w:rPr>
        <w:t xml:space="preserve"> an expected increase in uncollectible accounts receivable from the 1</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55% experienced in year 3</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Regardless of which percentage is used, either percentage would probably result in a reasonable estimate of uncollectible accounts receivable</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 xml:space="preserve"> </w:t>
      </w:r>
      <w:proofErr w:type="gramStart"/>
      <w:r w:rsidRPr="002C1621">
        <w:rPr>
          <w:rFonts w:ascii="Times New Roman" w:eastAsia="Times New Roman" w:hAnsi="Times New Roman" w:cs="Times New Roman"/>
          <w:color w:val="FF0000"/>
          <w:kern w:val="0"/>
          <w:szCs w:val="24"/>
        </w:rPr>
        <w:t>Using the 1</w:t>
      </w:r>
      <w:r w:rsidR="00AD3C67">
        <w:rPr>
          <w:rFonts w:ascii="Times New Roman" w:eastAsia="Times New Roman" w:hAnsi="Times New Roman" w:cs="Times New Roman"/>
          <w:color w:val="FF0000"/>
          <w:kern w:val="0"/>
          <w:szCs w:val="24"/>
        </w:rPr>
        <w:t>.</w:t>
      </w:r>
      <w:proofErr w:type="gramEnd"/>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70% estimate, the Nicholas Corporation would prepare the following journal entry to record uncollectible accounts expense in January</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p>
    <w:tbl>
      <w:tblPr>
        <w:tblStyle w:val="TableNormal"/>
        <w:tblW w:w="8355" w:type="dxa"/>
        <w:jc w:val="center"/>
        <w:tblCellSpacing w:w="0" w:type="dxa"/>
        <w:tblInd w:w="0" w:type="dxa"/>
        <w:tblBorders>
          <w:top w:val="outset" w:sz="6" w:space="0" w:color="auto"/>
          <w:left w:val="outset" w:sz="6" w:space="0" w:color="auto"/>
          <w:bottom w:val="outset" w:sz="6" w:space="0" w:color="auto"/>
          <w:right w:val="outset" w:sz="6" w:space="0" w:color="auto"/>
        </w:tblBorders>
        <w:shd w:val="clear" w:color="auto" w:fill="99FF99"/>
        <w:tblCellMar>
          <w:left w:w="0" w:type="dxa"/>
          <w:right w:w="0" w:type="dxa"/>
        </w:tblCellMar>
        <w:tblLook w:val="04A0" w:firstRow="1" w:lastRow="0" w:firstColumn="1" w:lastColumn="0" w:noHBand="0" w:noVBand="1"/>
      </w:tblPr>
      <w:tblGrid>
        <w:gridCol w:w="1002"/>
        <w:gridCol w:w="4929"/>
        <w:gridCol w:w="752"/>
        <w:gridCol w:w="836"/>
        <w:gridCol w:w="836"/>
      </w:tblGrid>
      <w:tr w:rsidR="002C1621" w:rsidRPr="002C1621" w:rsidTr="002C1621">
        <w:trPr>
          <w:tblCellSpacing w:w="0" w:type="dxa"/>
          <w:jc w:val="center"/>
        </w:trPr>
        <w:tc>
          <w:tcPr>
            <w:tcW w:w="600" w:type="pct"/>
            <w:tcBorders>
              <w:top w:val="outset" w:sz="6" w:space="0" w:color="auto"/>
              <w:left w:val="outset" w:sz="6" w:space="0" w:color="auto"/>
              <w:bottom w:val="outset" w:sz="6" w:space="0" w:color="auto"/>
              <w:right w:val="outset" w:sz="6" w:space="0" w:color="auto"/>
            </w:tcBorders>
            <w:shd w:val="clear" w:color="auto" w:fill="99FF99"/>
            <w:vAlign w:val="bottom"/>
            <w:hideMark/>
          </w:tcPr>
          <w:p w:rsidR="002C1621" w:rsidRPr="002C1621" w:rsidRDefault="002C1621" w:rsidP="002C1621">
            <w:pPr>
              <w:widowControl/>
              <w:jc w:val="center"/>
              <w:rPr>
                <w:szCs w:val="24"/>
              </w:rPr>
            </w:pPr>
            <w:r w:rsidRPr="002C1621">
              <w:rPr>
                <w:szCs w:val="24"/>
              </w:rPr>
              <w:t xml:space="preserve">Date </w:t>
            </w:r>
          </w:p>
        </w:tc>
        <w:tc>
          <w:tcPr>
            <w:tcW w:w="2950" w:type="pct"/>
            <w:tcBorders>
              <w:top w:val="outset" w:sz="6" w:space="0" w:color="auto"/>
              <w:left w:val="outset" w:sz="6" w:space="0" w:color="auto"/>
              <w:bottom w:val="outset" w:sz="6" w:space="0" w:color="auto"/>
              <w:right w:val="outset" w:sz="6" w:space="0" w:color="auto"/>
            </w:tcBorders>
            <w:shd w:val="clear" w:color="auto" w:fill="99FF99"/>
            <w:vAlign w:val="bottom"/>
            <w:hideMark/>
          </w:tcPr>
          <w:p w:rsidR="002C1621" w:rsidRPr="002C1621" w:rsidRDefault="002C1621" w:rsidP="002C1621">
            <w:pPr>
              <w:widowControl/>
              <w:jc w:val="center"/>
              <w:rPr>
                <w:szCs w:val="24"/>
              </w:rPr>
            </w:pPr>
            <w:r w:rsidRPr="002C1621">
              <w:rPr>
                <w:szCs w:val="24"/>
              </w:rPr>
              <w:t xml:space="preserve">Description </w:t>
            </w:r>
          </w:p>
        </w:tc>
        <w:tc>
          <w:tcPr>
            <w:tcW w:w="450" w:type="pct"/>
            <w:tcBorders>
              <w:top w:val="outset" w:sz="6" w:space="0" w:color="auto"/>
              <w:left w:val="outset" w:sz="6" w:space="0" w:color="auto"/>
              <w:bottom w:val="outset" w:sz="6" w:space="0" w:color="auto"/>
              <w:right w:val="outset" w:sz="6" w:space="0" w:color="auto"/>
            </w:tcBorders>
            <w:shd w:val="clear" w:color="auto" w:fill="99FF99"/>
            <w:vAlign w:val="bottom"/>
            <w:hideMark/>
          </w:tcPr>
          <w:p w:rsidR="002C1621" w:rsidRPr="002C1621" w:rsidRDefault="002C1621" w:rsidP="002C1621">
            <w:pPr>
              <w:widowControl/>
              <w:jc w:val="center"/>
              <w:rPr>
                <w:szCs w:val="24"/>
              </w:rPr>
            </w:pPr>
            <w:r w:rsidRPr="002C1621">
              <w:rPr>
                <w:szCs w:val="24"/>
              </w:rPr>
              <w:t>Post</w:t>
            </w:r>
            <w:r w:rsidR="00AD3C67">
              <w:rPr>
                <w:szCs w:val="24"/>
              </w:rPr>
              <w:t>.</w:t>
            </w:r>
            <w:r w:rsidR="00AD3C67">
              <w:rPr>
                <w:szCs w:val="24"/>
              </w:rPr>
              <w:br/>
            </w:r>
            <w:r w:rsidR="00AD3C67">
              <w:rPr>
                <w:szCs w:val="24"/>
              </w:rPr>
              <w:br/>
            </w:r>
            <w:r w:rsidR="00AD3C67">
              <w:rPr>
                <w:szCs w:val="24"/>
              </w:rPr>
              <w:br/>
            </w:r>
            <w:r w:rsidRPr="002C1621">
              <w:rPr>
                <w:szCs w:val="24"/>
              </w:rPr>
              <w:t xml:space="preserve"> </w:t>
            </w:r>
            <w:r w:rsidRPr="002C1621">
              <w:rPr>
                <w:szCs w:val="24"/>
              </w:rPr>
              <w:br/>
              <w:t>Ref</w:t>
            </w:r>
            <w:r w:rsidR="00AD3C67">
              <w:rPr>
                <w:szCs w:val="24"/>
              </w:rPr>
              <w:t>.</w:t>
            </w:r>
            <w:r w:rsidR="00AD3C67">
              <w:rPr>
                <w:szCs w:val="24"/>
              </w:rPr>
              <w:br/>
            </w:r>
            <w:r w:rsidR="00AD3C67">
              <w:rPr>
                <w:szCs w:val="24"/>
              </w:rPr>
              <w:br/>
            </w:r>
            <w:r w:rsidR="00AD3C67">
              <w:rPr>
                <w:szCs w:val="24"/>
              </w:rPr>
              <w:br/>
            </w:r>
            <w:r w:rsidRPr="002C1621">
              <w:rPr>
                <w:szCs w:val="24"/>
              </w:rPr>
              <w:t xml:space="preserve"> </w:t>
            </w:r>
          </w:p>
        </w:tc>
        <w:tc>
          <w:tcPr>
            <w:tcW w:w="500" w:type="pct"/>
            <w:tcBorders>
              <w:top w:val="outset" w:sz="6" w:space="0" w:color="auto"/>
              <w:left w:val="outset" w:sz="6" w:space="0" w:color="auto"/>
              <w:bottom w:val="outset" w:sz="6" w:space="0" w:color="auto"/>
              <w:right w:val="outset" w:sz="6" w:space="0" w:color="auto"/>
            </w:tcBorders>
            <w:shd w:val="clear" w:color="auto" w:fill="99FF99"/>
            <w:vAlign w:val="bottom"/>
            <w:hideMark/>
          </w:tcPr>
          <w:p w:rsidR="002C1621" w:rsidRPr="002C1621" w:rsidRDefault="002C1621" w:rsidP="002C1621">
            <w:pPr>
              <w:widowControl/>
              <w:jc w:val="center"/>
              <w:rPr>
                <w:szCs w:val="24"/>
              </w:rPr>
            </w:pPr>
            <w:r w:rsidRPr="002C1621">
              <w:rPr>
                <w:szCs w:val="24"/>
              </w:rPr>
              <w:t xml:space="preserve">Debits </w:t>
            </w:r>
          </w:p>
        </w:tc>
        <w:tc>
          <w:tcPr>
            <w:tcW w:w="500" w:type="pct"/>
            <w:tcBorders>
              <w:top w:val="outset" w:sz="6" w:space="0" w:color="auto"/>
              <w:left w:val="outset" w:sz="6" w:space="0" w:color="auto"/>
              <w:bottom w:val="outset" w:sz="6" w:space="0" w:color="auto"/>
              <w:right w:val="outset" w:sz="6" w:space="0" w:color="auto"/>
            </w:tcBorders>
            <w:shd w:val="clear" w:color="auto" w:fill="99FF99"/>
            <w:vAlign w:val="bottom"/>
            <w:hideMark/>
          </w:tcPr>
          <w:p w:rsidR="002C1621" w:rsidRPr="002C1621" w:rsidRDefault="002C1621" w:rsidP="002C1621">
            <w:pPr>
              <w:widowControl/>
              <w:jc w:val="center"/>
              <w:rPr>
                <w:szCs w:val="24"/>
              </w:rPr>
            </w:pPr>
            <w:r w:rsidRPr="002C1621">
              <w:rPr>
                <w:szCs w:val="24"/>
              </w:rPr>
              <w:t xml:space="preserve">Credits </w:t>
            </w:r>
          </w:p>
        </w:tc>
      </w:tr>
      <w:tr w:rsidR="002C1621" w:rsidRPr="002C1621" w:rsidTr="002C1621">
        <w:trPr>
          <w:tblCellSpacing w:w="0" w:type="dxa"/>
          <w:jc w:val="center"/>
        </w:trPr>
        <w:tc>
          <w:tcPr>
            <w:tcW w:w="600" w:type="pct"/>
            <w:tcBorders>
              <w:top w:val="outset" w:sz="6" w:space="0" w:color="auto"/>
              <w:left w:val="outset" w:sz="6" w:space="0" w:color="auto"/>
              <w:bottom w:val="outset" w:sz="6" w:space="0" w:color="auto"/>
              <w:right w:val="outset" w:sz="6" w:space="0" w:color="auto"/>
            </w:tcBorders>
            <w:shd w:val="clear" w:color="auto" w:fill="99FF99"/>
            <w:hideMark/>
          </w:tcPr>
          <w:p w:rsidR="002C1621" w:rsidRPr="002C1621" w:rsidRDefault="002C1621" w:rsidP="002C1621">
            <w:pPr>
              <w:widowControl/>
              <w:jc w:val="center"/>
              <w:rPr>
                <w:szCs w:val="24"/>
              </w:rPr>
            </w:pPr>
            <w:r w:rsidRPr="002C1621">
              <w:rPr>
                <w:szCs w:val="24"/>
              </w:rPr>
              <w:t>Jan</w:t>
            </w:r>
            <w:r w:rsidR="00AD3C67">
              <w:rPr>
                <w:szCs w:val="24"/>
              </w:rPr>
              <w:t>.</w:t>
            </w:r>
            <w:r w:rsidR="00AD3C67">
              <w:rPr>
                <w:szCs w:val="24"/>
              </w:rPr>
              <w:br/>
            </w:r>
            <w:r w:rsidR="00AD3C67">
              <w:rPr>
                <w:szCs w:val="24"/>
              </w:rPr>
              <w:br/>
            </w:r>
            <w:r w:rsidR="00AD3C67">
              <w:rPr>
                <w:szCs w:val="24"/>
              </w:rPr>
              <w:br/>
            </w:r>
            <w:r w:rsidRPr="002C1621">
              <w:rPr>
                <w:szCs w:val="24"/>
              </w:rPr>
              <w:t xml:space="preserve"> 31 </w:t>
            </w:r>
          </w:p>
        </w:tc>
        <w:tc>
          <w:tcPr>
            <w:tcW w:w="2950" w:type="pct"/>
            <w:tcBorders>
              <w:top w:val="outset" w:sz="6" w:space="0" w:color="auto"/>
              <w:left w:val="outset" w:sz="6" w:space="0" w:color="auto"/>
              <w:bottom w:val="outset" w:sz="6" w:space="0" w:color="auto"/>
              <w:right w:val="outset" w:sz="6" w:space="0" w:color="auto"/>
            </w:tcBorders>
            <w:shd w:val="clear" w:color="auto" w:fill="99FF99"/>
            <w:hideMark/>
          </w:tcPr>
          <w:p w:rsidR="002C1621" w:rsidRPr="002C1621" w:rsidRDefault="002C1621" w:rsidP="002C1621">
            <w:pPr>
              <w:widowControl/>
              <w:rPr>
                <w:szCs w:val="24"/>
              </w:rPr>
            </w:pPr>
            <w:r w:rsidRPr="002C1621">
              <w:rPr>
                <w:color w:val="FF0000"/>
                <w:szCs w:val="24"/>
              </w:rPr>
              <w:t>Uncollectible Accounts Expense</w:t>
            </w:r>
          </w:p>
        </w:tc>
        <w:tc>
          <w:tcPr>
            <w:tcW w:w="450" w:type="pct"/>
            <w:tcBorders>
              <w:top w:val="outset" w:sz="6" w:space="0" w:color="auto"/>
              <w:left w:val="outset" w:sz="6" w:space="0" w:color="auto"/>
              <w:bottom w:val="outset" w:sz="6" w:space="0" w:color="auto"/>
              <w:right w:val="outset" w:sz="6" w:space="0" w:color="auto"/>
            </w:tcBorders>
            <w:shd w:val="clear" w:color="auto" w:fill="99FF99"/>
            <w:hideMark/>
          </w:tcPr>
          <w:p w:rsidR="002C1621" w:rsidRPr="002C1621" w:rsidRDefault="002C1621" w:rsidP="002C1621">
            <w:pPr>
              <w:widowControl/>
              <w:rPr>
                <w:szCs w:val="24"/>
              </w:rPr>
            </w:pPr>
            <w:r w:rsidRPr="002C1621">
              <w:rPr>
                <w:color w:val="FF0000"/>
                <w:szCs w:val="24"/>
              </w:rPr>
              <w:t> </w:t>
            </w:r>
          </w:p>
        </w:tc>
        <w:tc>
          <w:tcPr>
            <w:tcW w:w="500" w:type="pct"/>
            <w:tcBorders>
              <w:top w:val="outset" w:sz="6" w:space="0" w:color="auto"/>
              <w:left w:val="outset" w:sz="6" w:space="0" w:color="auto"/>
              <w:bottom w:val="outset" w:sz="6" w:space="0" w:color="auto"/>
              <w:right w:val="outset" w:sz="6" w:space="0" w:color="auto"/>
            </w:tcBorders>
            <w:shd w:val="clear" w:color="auto" w:fill="99FF99"/>
            <w:hideMark/>
          </w:tcPr>
          <w:p w:rsidR="002C1621" w:rsidRPr="002C1621" w:rsidRDefault="002C1621" w:rsidP="002C1621">
            <w:pPr>
              <w:widowControl/>
              <w:jc w:val="right"/>
              <w:rPr>
                <w:szCs w:val="24"/>
              </w:rPr>
            </w:pPr>
            <w:r w:rsidRPr="002C1621">
              <w:rPr>
                <w:color w:val="FF0000"/>
                <w:szCs w:val="24"/>
              </w:rPr>
              <w:t>255</w:t>
            </w:r>
          </w:p>
        </w:tc>
        <w:tc>
          <w:tcPr>
            <w:tcW w:w="500" w:type="pct"/>
            <w:tcBorders>
              <w:top w:val="outset" w:sz="6" w:space="0" w:color="auto"/>
              <w:left w:val="outset" w:sz="6" w:space="0" w:color="auto"/>
              <w:bottom w:val="outset" w:sz="6" w:space="0" w:color="auto"/>
              <w:right w:val="outset" w:sz="6" w:space="0" w:color="auto"/>
            </w:tcBorders>
            <w:shd w:val="clear" w:color="auto" w:fill="99FF99"/>
            <w:hideMark/>
          </w:tcPr>
          <w:p w:rsidR="002C1621" w:rsidRPr="002C1621" w:rsidRDefault="002C1621" w:rsidP="002C1621">
            <w:pPr>
              <w:widowControl/>
              <w:rPr>
                <w:szCs w:val="24"/>
              </w:rPr>
            </w:pPr>
            <w:r w:rsidRPr="002C1621">
              <w:rPr>
                <w:color w:val="FF0000"/>
                <w:szCs w:val="24"/>
              </w:rPr>
              <w:t> </w:t>
            </w:r>
          </w:p>
        </w:tc>
      </w:tr>
      <w:tr w:rsidR="002C1621" w:rsidRPr="002C1621" w:rsidTr="002C1621">
        <w:trPr>
          <w:tblCellSpacing w:w="0" w:type="dxa"/>
          <w:jc w:val="center"/>
        </w:trPr>
        <w:tc>
          <w:tcPr>
            <w:tcW w:w="600" w:type="pct"/>
            <w:tcBorders>
              <w:top w:val="outset" w:sz="6" w:space="0" w:color="auto"/>
              <w:left w:val="outset" w:sz="6" w:space="0" w:color="auto"/>
              <w:bottom w:val="outset" w:sz="6" w:space="0" w:color="auto"/>
              <w:right w:val="outset" w:sz="6" w:space="0" w:color="auto"/>
            </w:tcBorders>
            <w:shd w:val="clear" w:color="auto" w:fill="99FF99"/>
            <w:hideMark/>
          </w:tcPr>
          <w:p w:rsidR="002C1621" w:rsidRPr="002C1621" w:rsidRDefault="002C1621" w:rsidP="002C1621">
            <w:pPr>
              <w:widowControl/>
              <w:rPr>
                <w:szCs w:val="24"/>
              </w:rPr>
            </w:pPr>
            <w:r w:rsidRPr="002C1621">
              <w:rPr>
                <w:color w:val="FF0000"/>
                <w:szCs w:val="24"/>
              </w:rPr>
              <w:t> </w:t>
            </w:r>
          </w:p>
        </w:tc>
        <w:tc>
          <w:tcPr>
            <w:tcW w:w="2950" w:type="pct"/>
            <w:tcBorders>
              <w:top w:val="outset" w:sz="6" w:space="0" w:color="auto"/>
              <w:left w:val="outset" w:sz="6" w:space="0" w:color="auto"/>
              <w:bottom w:val="outset" w:sz="6" w:space="0" w:color="auto"/>
              <w:right w:val="outset" w:sz="6" w:space="0" w:color="auto"/>
            </w:tcBorders>
            <w:shd w:val="clear" w:color="auto" w:fill="99FF99"/>
            <w:hideMark/>
          </w:tcPr>
          <w:p w:rsidR="002C1621" w:rsidRPr="002C1621" w:rsidRDefault="002C1621" w:rsidP="002C1621">
            <w:pPr>
              <w:widowControl/>
              <w:rPr>
                <w:szCs w:val="24"/>
              </w:rPr>
            </w:pPr>
            <w:r w:rsidRPr="002C1621">
              <w:rPr>
                <w:color w:val="FF0000"/>
                <w:szCs w:val="24"/>
              </w:rPr>
              <w:t>     Allowance for Uncollectible Accounts</w:t>
            </w:r>
          </w:p>
        </w:tc>
        <w:tc>
          <w:tcPr>
            <w:tcW w:w="450" w:type="pct"/>
            <w:tcBorders>
              <w:top w:val="outset" w:sz="6" w:space="0" w:color="auto"/>
              <w:left w:val="outset" w:sz="6" w:space="0" w:color="auto"/>
              <w:bottom w:val="outset" w:sz="6" w:space="0" w:color="auto"/>
              <w:right w:val="outset" w:sz="6" w:space="0" w:color="auto"/>
            </w:tcBorders>
            <w:shd w:val="clear" w:color="auto" w:fill="99FF99"/>
            <w:hideMark/>
          </w:tcPr>
          <w:p w:rsidR="002C1621" w:rsidRPr="002C1621" w:rsidRDefault="002C1621" w:rsidP="002C1621">
            <w:pPr>
              <w:widowControl/>
              <w:rPr>
                <w:szCs w:val="24"/>
              </w:rPr>
            </w:pPr>
            <w:r w:rsidRPr="002C1621">
              <w:rPr>
                <w:color w:val="FF0000"/>
                <w:szCs w:val="24"/>
              </w:rPr>
              <w:t> </w:t>
            </w:r>
          </w:p>
        </w:tc>
        <w:tc>
          <w:tcPr>
            <w:tcW w:w="500" w:type="pct"/>
            <w:tcBorders>
              <w:top w:val="outset" w:sz="6" w:space="0" w:color="auto"/>
              <w:left w:val="outset" w:sz="6" w:space="0" w:color="auto"/>
              <w:bottom w:val="outset" w:sz="6" w:space="0" w:color="auto"/>
              <w:right w:val="outset" w:sz="6" w:space="0" w:color="auto"/>
            </w:tcBorders>
            <w:shd w:val="clear" w:color="auto" w:fill="99FF99"/>
            <w:hideMark/>
          </w:tcPr>
          <w:p w:rsidR="002C1621" w:rsidRPr="002C1621" w:rsidRDefault="002C1621" w:rsidP="002C1621">
            <w:pPr>
              <w:widowControl/>
              <w:rPr>
                <w:szCs w:val="24"/>
              </w:rPr>
            </w:pPr>
            <w:r w:rsidRPr="002C1621">
              <w:rPr>
                <w:color w:val="FF0000"/>
                <w:szCs w:val="24"/>
              </w:rPr>
              <w:t> </w:t>
            </w:r>
          </w:p>
        </w:tc>
        <w:tc>
          <w:tcPr>
            <w:tcW w:w="500" w:type="pct"/>
            <w:tcBorders>
              <w:top w:val="outset" w:sz="6" w:space="0" w:color="auto"/>
              <w:left w:val="outset" w:sz="6" w:space="0" w:color="auto"/>
              <w:bottom w:val="outset" w:sz="6" w:space="0" w:color="auto"/>
              <w:right w:val="outset" w:sz="6" w:space="0" w:color="auto"/>
            </w:tcBorders>
            <w:shd w:val="clear" w:color="auto" w:fill="99FF99"/>
            <w:hideMark/>
          </w:tcPr>
          <w:p w:rsidR="002C1621" w:rsidRPr="002C1621" w:rsidRDefault="002C1621" w:rsidP="002C1621">
            <w:pPr>
              <w:widowControl/>
              <w:jc w:val="right"/>
              <w:rPr>
                <w:szCs w:val="24"/>
              </w:rPr>
            </w:pPr>
            <w:r w:rsidRPr="002C1621">
              <w:rPr>
                <w:color w:val="FF0000"/>
                <w:szCs w:val="24"/>
              </w:rPr>
              <w:t>255</w:t>
            </w:r>
          </w:p>
        </w:tc>
      </w:tr>
      <w:tr w:rsidR="002C1621" w:rsidRPr="002C1621" w:rsidTr="002C1621">
        <w:trPr>
          <w:tblCellSpacing w:w="0" w:type="dxa"/>
          <w:jc w:val="center"/>
        </w:trPr>
        <w:tc>
          <w:tcPr>
            <w:tcW w:w="600" w:type="pct"/>
            <w:tcBorders>
              <w:top w:val="outset" w:sz="6" w:space="0" w:color="auto"/>
              <w:left w:val="outset" w:sz="6" w:space="0" w:color="auto"/>
              <w:bottom w:val="outset" w:sz="6" w:space="0" w:color="auto"/>
              <w:right w:val="outset" w:sz="6" w:space="0" w:color="auto"/>
            </w:tcBorders>
            <w:shd w:val="clear" w:color="auto" w:fill="99FF99"/>
            <w:hideMark/>
          </w:tcPr>
          <w:p w:rsidR="002C1621" w:rsidRPr="002C1621" w:rsidRDefault="002C1621" w:rsidP="002C1621">
            <w:pPr>
              <w:widowControl/>
              <w:rPr>
                <w:szCs w:val="24"/>
              </w:rPr>
            </w:pPr>
            <w:r w:rsidRPr="002C1621">
              <w:rPr>
                <w:color w:val="FF0000"/>
                <w:szCs w:val="24"/>
              </w:rPr>
              <w:t> </w:t>
            </w:r>
          </w:p>
        </w:tc>
        <w:tc>
          <w:tcPr>
            <w:tcW w:w="2950" w:type="pct"/>
            <w:tcBorders>
              <w:top w:val="outset" w:sz="6" w:space="0" w:color="auto"/>
              <w:left w:val="outset" w:sz="6" w:space="0" w:color="auto"/>
              <w:bottom w:val="outset" w:sz="6" w:space="0" w:color="auto"/>
              <w:right w:val="outset" w:sz="6" w:space="0" w:color="auto"/>
            </w:tcBorders>
            <w:shd w:val="clear" w:color="auto" w:fill="99FF99"/>
            <w:hideMark/>
          </w:tcPr>
          <w:p w:rsidR="002C1621" w:rsidRPr="002C1621" w:rsidRDefault="002C1621" w:rsidP="002C1621">
            <w:pPr>
              <w:widowControl/>
              <w:jc w:val="center"/>
              <w:rPr>
                <w:szCs w:val="24"/>
              </w:rPr>
            </w:pPr>
            <w:r w:rsidRPr="002C1621">
              <w:rPr>
                <w:color w:val="FF0000"/>
                <w:szCs w:val="24"/>
              </w:rPr>
              <w:t>Uncollectible accounts receivable</w:t>
            </w:r>
            <w:r w:rsidRPr="002C1621">
              <w:rPr>
                <w:szCs w:val="24"/>
              </w:rPr>
              <w:t xml:space="preserve"> </w:t>
            </w:r>
          </w:p>
        </w:tc>
        <w:tc>
          <w:tcPr>
            <w:tcW w:w="450" w:type="pct"/>
            <w:tcBorders>
              <w:top w:val="outset" w:sz="6" w:space="0" w:color="auto"/>
              <w:left w:val="outset" w:sz="6" w:space="0" w:color="auto"/>
              <w:bottom w:val="outset" w:sz="6" w:space="0" w:color="auto"/>
              <w:right w:val="outset" w:sz="6" w:space="0" w:color="auto"/>
            </w:tcBorders>
            <w:shd w:val="clear" w:color="auto" w:fill="99FF99"/>
            <w:hideMark/>
          </w:tcPr>
          <w:p w:rsidR="002C1621" w:rsidRPr="002C1621" w:rsidRDefault="002C1621" w:rsidP="002C1621">
            <w:pPr>
              <w:widowControl/>
              <w:rPr>
                <w:szCs w:val="24"/>
              </w:rPr>
            </w:pPr>
            <w:r w:rsidRPr="002C1621">
              <w:rPr>
                <w:szCs w:val="24"/>
              </w:rPr>
              <w:t> </w:t>
            </w:r>
          </w:p>
        </w:tc>
        <w:tc>
          <w:tcPr>
            <w:tcW w:w="500" w:type="pct"/>
            <w:tcBorders>
              <w:top w:val="outset" w:sz="6" w:space="0" w:color="auto"/>
              <w:left w:val="outset" w:sz="6" w:space="0" w:color="auto"/>
              <w:bottom w:val="outset" w:sz="6" w:space="0" w:color="auto"/>
              <w:right w:val="outset" w:sz="6" w:space="0" w:color="auto"/>
            </w:tcBorders>
            <w:shd w:val="clear" w:color="auto" w:fill="99FF99"/>
            <w:hideMark/>
          </w:tcPr>
          <w:p w:rsidR="002C1621" w:rsidRPr="002C1621" w:rsidRDefault="002C1621" w:rsidP="002C1621">
            <w:pPr>
              <w:widowControl/>
              <w:rPr>
                <w:szCs w:val="24"/>
              </w:rPr>
            </w:pPr>
            <w:r w:rsidRPr="002C1621">
              <w:rPr>
                <w:szCs w:val="24"/>
              </w:rPr>
              <w:t> </w:t>
            </w:r>
          </w:p>
        </w:tc>
        <w:tc>
          <w:tcPr>
            <w:tcW w:w="500" w:type="pct"/>
            <w:tcBorders>
              <w:top w:val="outset" w:sz="6" w:space="0" w:color="auto"/>
              <w:left w:val="outset" w:sz="6" w:space="0" w:color="auto"/>
              <w:bottom w:val="outset" w:sz="6" w:space="0" w:color="auto"/>
              <w:right w:val="outset" w:sz="6" w:space="0" w:color="auto"/>
            </w:tcBorders>
            <w:shd w:val="clear" w:color="auto" w:fill="99FF99"/>
            <w:hideMark/>
          </w:tcPr>
          <w:p w:rsidR="002C1621" w:rsidRPr="002C1621" w:rsidRDefault="002C1621" w:rsidP="002C1621">
            <w:pPr>
              <w:widowControl/>
              <w:rPr>
                <w:szCs w:val="24"/>
              </w:rPr>
            </w:pPr>
            <w:r w:rsidRPr="002C1621">
              <w:rPr>
                <w:szCs w:val="24"/>
              </w:rPr>
              <w:t> </w:t>
            </w:r>
          </w:p>
        </w:tc>
      </w:tr>
    </w:tbl>
    <w:p w:rsidR="002C1621" w:rsidRPr="002C1621" w:rsidRDefault="002C1621" w:rsidP="002C1621">
      <w:pPr>
        <w:widowControl/>
        <w:spacing w:before="100" w:beforeAutospacing="1" w:after="100" w:afterAutospacing="1"/>
        <w:rPr>
          <w:rFonts w:ascii="Times New Roman" w:eastAsia="Times New Roman" w:hAnsi="Times New Roman" w:cs="Times New Roman"/>
          <w:kern w:val="0"/>
          <w:szCs w:val="24"/>
        </w:rPr>
      </w:pPr>
      <w:r w:rsidRPr="002C1621">
        <w:rPr>
          <w:rFonts w:ascii="Times New Roman" w:eastAsia="Times New Roman" w:hAnsi="Times New Roman" w:cs="Times New Roman"/>
          <w:kern w:val="0"/>
          <w:szCs w:val="24"/>
        </w:rPr>
        <w:t xml:space="preserve">Practice Exercise </w:t>
      </w:r>
    </w:p>
    <w:p w:rsidR="002C1621" w:rsidRPr="002C1621" w:rsidRDefault="002C1621" w:rsidP="002C1621">
      <w:pPr>
        <w:widowControl/>
        <w:ind w:left="720"/>
        <w:rPr>
          <w:rFonts w:ascii="Times New Roman" w:eastAsia="Times New Roman" w:hAnsi="Times New Roman" w:cs="Times New Roman"/>
          <w:kern w:val="0"/>
          <w:szCs w:val="24"/>
        </w:rPr>
      </w:pPr>
      <w:r w:rsidRPr="002C1621">
        <w:rPr>
          <w:rFonts w:ascii="Times New Roman" w:eastAsia="Times New Roman" w:hAnsi="Times New Roman" w:cs="Times New Roman"/>
          <w:kern w:val="0"/>
          <w:szCs w:val="24"/>
        </w:rPr>
        <w:t>During the last four years, the Christopher Corporation’s credit sales totaled $60,000,000</w:t>
      </w:r>
      <w:r w:rsidR="00AD3C67">
        <w:rPr>
          <w:rFonts w:ascii="Times New Roman" w:eastAsia="Times New Roman" w:hAnsi="Times New Roman" w:cs="Times New Roman"/>
          <w:kern w:val="0"/>
          <w:szCs w:val="24"/>
        </w:rPr>
        <w:t>.</w:t>
      </w:r>
      <w:r w:rsidR="00AD3C67">
        <w:rPr>
          <w:rFonts w:ascii="Times New Roman" w:eastAsia="Times New Roman" w:hAnsi="Times New Roman" w:cs="Times New Roman"/>
          <w:kern w:val="0"/>
          <w:szCs w:val="24"/>
        </w:rPr>
        <w:br/>
      </w:r>
      <w:r w:rsidR="00AD3C67">
        <w:rPr>
          <w:rFonts w:ascii="Times New Roman" w:eastAsia="Times New Roman" w:hAnsi="Times New Roman" w:cs="Times New Roman"/>
          <w:kern w:val="0"/>
          <w:szCs w:val="24"/>
        </w:rPr>
        <w:br/>
      </w:r>
      <w:r w:rsidR="00AD3C67">
        <w:rPr>
          <w:rFonts w:ascii="Times New Roman" w:eastAsia="Times New Roman" w:hAnsi="Times New Roman" w:cs="Times New Roman"/>
          <w:kern w:val="0"/>
          <w:szCs w:val="24"/>
        </w:rPr>
        <w:br/>
      </w:r>
      <w:r w:rsidRPr="002C1621">
        <w:rPr>
          <w:rFonts w:ascii="Times New Roman" w:eastAsia="Times New Roman" w:hAnsi="Times New Roman" w:cs="Times New Roman"/>
          <w:kern w:val="0"/>
          <w:szCs w:val="24"/>
        </w:rPr>
        <w:t xml:space="preserve"> During the same four years, $2,100,000 of its accounts receivable were determined to be uncollectible</w:t>
      </w:r>
      <w:r w:rsidR="00AD3C67">
        <w:rPr>
          <w:rFonts w:ascii="Times New Roman" w:eastAsia="Times New Roman" w:hAnsi="Times New Roman" w:cs="Times New Roman"/>
          <w:kern w:val="0"/>
          <w:szCs w:val="24"/>
        </w:rPr>
        <w:t>.</w:t>
      </w:r>
      <w:r w:rsidR="00AD3C67">
        <w:rPr>
          <w:rFonts w:ascii="Times New Roman" w:eastAsia="Times New Roman" w:hAnsi="Times New Roman" w:cs="Times New Roman"/>
          <w:kern w:val="0"/>
          <w:szCs w:val="24"/>
        </w:rPr>
        <w:br/>
      </w:r>
      <w:r w:rsidR="00AD3C67">
        <w:rPr>
          <w:rFonts w:ascii="Times New Roman" w:eastAsia="Times New Roman" w:hAnsi="Times New Roman" w:cs="Times New Roman"/>
          <w:kern w:val="0"/>
          <w:szCs w:val="24"/>
        </w:rPr>
        <w:br/>
      </w:r>
      <w:r w:rsidR="00AD3C67">
        <w:rPr>
          <w:rFonts w:ascii="Times New Roman" w:eastAsia="Times New Roman" w:hAnsi="Times New Roman" w:cs="Times New Roman"/>
          <w:kern w:val="0"/>
          <w:szCs w:val="24"/>
        </w:rPr>
        <w:lastRenderedPageBreak/>
        <w:br/>
      </w:r>
      <w:r w:rsidRPr="002C1621">
        <w:rPr>
          <w:rFonts w:ascii="Times New Roman" w:eastAsia="Times New Roman" w:hAnsi="Times New Roman" w:cs="Times New Roman"/>
          <w:kern w:val="0"/>
          <w:szCs w:val="24"/>
        </w:rPr>
        <w:t xml:space="preserve"> </w:t>
      </w:r>
    </w:p>
    <w:p w:rsidR="002C1621" w:rsidRPr="002C1621" w:rsidRDefault="002C1621" w:rsidP="002C1621">
      <w:pPr>
        <w:widowControl/>
        <w:spacing w:before="100" w:beforeAutospacing="1" w:after="100" w:afterAutospacing="1"/>
        <w:ind w:left="720"/>
        <w:rPr>
          <w:rFonts w:ascii="Times New Roman" w:eastAsia="Times New Roman" w:hAnsi="Times New Roman" w:cs="Times New Roman"/>
          <w:kern w:val="0"/>
          <w:szCs w:val="24"/>
        </w:rPr>
      </w:pPr>
      <w:r w:rsidRPr="002C1621">
        <w:rPr>
          <w:rFonts w:ascii="Times New Roman" w:eastAsia="Times New Roman" w:hAnsi="Times New Roman" w:cs="Times New Roman"/>
          <w:kern w:val="0"/>
          <w:szCs w:val="24"/>
        </w:rPr>
        <w:t>1</w:t>
      </w:r>
      <w:r w:rsidR="00AD3C67">
        <w:rPr>
          <w:rFonts w:ascii="Times New Roman" w:eastAsia="Times New Roman" w:hAnsi="Times New Roman" w:cs="Times New Roman"/>
          <w:kern w:val="0"/>
          <w:szCs w:val="24"/>
        </w:rPr>
        <w:t>.</w:t>
      </w:r>
      <w:r w:rsidR="00AD3C67">
        <w:rPr>
          <w:rFonts w:ascii="Times New Roman" w:eastAsia="Times New Roman" w:hAnsi="Times New Roman" w:cs="Times New Roman"/>
          <w:kern w:val="0"/>
          <w:szCs w:val="24"/>
        </w:rPr>
        <w:br/>
      </w:r>
      <w:r w:rsidR="00AD3C67">
        <w:rPr>
          <w:rFonts w:ascii="Times New Roman" w:eastAsia="Times New Roman" w:hAnsi="Times New Roman" w:cs="Times New Roman"/>
          <w:kern w:val="0"/>
          <w:szCs w:val="24"/>
        </w:rPr>
        <w:br/>
      </w:r>
      <w:r w:rsidR="00AD3C67">
        <w:rPr>
          <w:rFonts w:ascii="Times New Roman" w:eastAsia="Times New Roman" w:hAnsi="Times New Roman" w:cs="Times New Roman"/>
          <w:kern w:val="0"/>
          <w:szCs w:val="24"/>
        </w:rPr>
        <w:br/>
      </w:r>
      <w:r w:rsidRPr="002C1621">
        <w:rPr>
          <w:rFonts w:ascii="Times New Roman" w:eastAsia="Times New Roman" w:hAnsi="Times New Roman" w:cs="Times New Roman"/>
          <w:kern w:val="0"/>
          <w:szCs w:val="24"/>
        </w:rPr>
        <w:t xml:space="preserve"> Calculate the Christopher Corporation’s percentage of credit sales during the last four years that were not collected</w:t>
      </w:r>
      <w:r w:rsidR="00AD3C67">
        <w:rPr>
          <w:rFonts w:ascii="Times New Roman" w:eastAsia="Times New Roman" w:hAnsi="Times New Roman" w:cs="Times New Roman"/>
          <w:kern w:val="0"/>
          <w:szCs w:val="24"/>
        </w:rPr>
        <w:t>.</w:t>
      </w:r>
      <w:r w:rsidR="00AD3C67">
        <w:rPr>
          <w:rFonts w:ascii="Times New Roman" w:eastAsia="Times New Roman" w:hAnsi="Times New Roman" w:cs="Times New Roman"/>
          <w:kern w:val="0"/>
          <w:szCs w:val="24"/>
        </w:rPr>
        <w:br/>
      </w:r>
      <w:r w:rsidR="00AD3C67">
        <w:rPr>
          <w:rFonts w:ascii="Times New Roman" w:eastAsia="Times New Roman" w:hAnsi="Times New Roman" w:cs="Times New Roman"/>
          <w:kern w:val="0"/>
          <w:szCs w:val="24"/>
        </w:rPr>
        <w:br/>
      </w:r>
      <w:r w:rsidR="00AD3C67">
        <w:rPr>
          <w:rFonts w:ascii="Times New Roman" w:eastAsia="Times New Roman" w:hAnsi="Times New Roman" w:cs="Times New Roman"/>
          <w:kern w:val="0"/>
          <w:szCs w:val="24"/>
        </w:rPr>
        <w:br/>
      </w:r>
      <w:r w:rsidRPr="002C1621">
        <w:rPr>
          <w:rFonts w:ascii="Times New Roman" w:eastAsia="Times New Roman" w:hAnsi="Times New Roman" w:cs="Times New Roman"/>
          <w:kern w:val="0"/>
          <w:szCs w:val="24"/>
        </w:rPr>
        <w:t xml:space="preserve"> </w:t>
      </w:r>
    </w:p>
    <w:p w:rsidR="002C1621" w:rsidRPr="002C1621" w:rsidRDefault="002C1621" w:rsidP="002C1621">
      <w:pPr>
        <w:widowControl/>
        <w:spacing w:before="100" w:beforeAutospacing="1" w:after="100" w:afterAutospacing="1"/>
        <w:ind w:left="720"/>
        <w:rPr>
          <w:rFonts w:ascii="Times New Roman" w:eastAsia="Times New Roman" w:hAnsi="Times New Roman" w:cs="Times New Roman"/>
          <w:kern w:val="0"/>
          <w:szCs w:val="24"/>
        </w:rPr>
      </w:pPr>
      <w:r w:rsidRPr="002C1621">
        <w:rPr>
          <w:rFonts w:ascii="Times New Roman" w:eastAsia="Times New Roman" w:hAnsi="Times New Roman" w:cs="Times New Roman"/>
          <w:color w:val="FF0000"/>
          <w:kern w:val="0"/>
          <w:szCs w:val="24"/>
        </w:rPr>
        <w:t>Percentage of credit sales not collected = accounts receivable not collected / credit sales</w:t>
      </w:r>
      <w:r w:rsidRPr="002C1621">
        <w:rPr>
          <w:rFonts w:ascii="Times New Roman" w:eastAsia="Times New Roman" w:hAnsi="Times New Roman" w:cs="Times New Roman"/>
          <w:kern w:val="0"/>
          <w:szCs w:val="24"/>
        </w:rPr>
        <w:t xml:space="preserve"> </w:t>
      </w:r>
    </w:p>
    <w:p w:rsidR="002C1621" w:rsidRPr="002C1621" w:rsidRDefault="002C1621" w:rsidP="002C1621">
      <w:pPr>
        <w:widowControl/>
        <w:spacing w:before="100" w:beforeAutospacing="1" w:after="100" w:afterAutospacing="1"/>
        <w:ind w:left="720"/>
        <w:rPr>
          <w:rFonts w:ascii="Times New Roman" w:eastAsia="Times New Roman" w:hAnsi="Times New Roman" w:cs="Times New Roman"/>
          <w:kern w:val="0"/>
          <w:szCs w:val="24"/>
        </w:rPr>
      </w:pPr>
      <w:r w:rsidRPr="002C1621">
        <w:rPr>
          <w:rFonts w:ascii="Times New Roman" w:eastAsia="Times New Roman" w:hAnsi="Times New Roman" w:cs="Times New Roman"/>
          <w:color w:val="FF0000"/>
          <w:kern w:val="0"/>
          <w:szCs w:val="24"/>
        </w:rPr>
        <w:t xml:space="preserve">Percentage of credit sales not collected = $2,100,000 / $60,000,000 </w:t>
      </w:r>
      <w:proofErr w:type="gramStart"/>
      <w:r w:rsidRPr="002C1621">
        <w:rPr>
          <w:rFonts w:ascii="Times New Roman" w:eastAsia="Times New Roman" w:hAnsi="Times New Roman" w:cs="Times New Roman"/>
          <w:color w:val="FF0000"/>
          <w:kern w:val="0"/>
          <w:szCs w:val="24"/>
        </w:rPr>
        <w:t xml:space="preserve">= </w:t>
      </w:r>
      <w:r w:rsidR="00AD3C67">
        <w:rPr>
          <w:rFonts w:ascii="Times New Roman" w:eastAsia="Times New Roman" w:hAnsi="Times New Roman" w:cs="Times New Roman"/>
          <w:color w:val="FF0000"/>
          <w:kern w:val="0"/>
          <w:szCs w:val="24"/>
        </w:rPr>
        <w:t>.</w:t>
      </w:r>
      <w:proofErr w:type="gramEnd"/>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035 = 3</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5%</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kern w:val="0"/>
          <w:szCs w:val="24"/>
        </w:rPr>
        <w:t xml:space="preserve"> </w:t>
      </w:r>
    </w:p>
    <w:p w:rsidR="002C1621" w:rsidRPr="002C1621" w:rsidRDefault="002C1621" w:rsidP="002C1621">
      <w:pPr>
        <w:widowControl/>
        <w:spacing w:before="100" w:beforeAutospacing="1" w:after="100" w:afterAutospacing="1"/>
        <w:ind w:left="720"/>
        <w:rPr>
          <w:rFonts w:ascii="Times New Roman" w:eastAsia="Times New Roman" w:hAnsi="Times New Roman" w:cs="Times New Roman"/>
          <w:kern w:val="0"/>
          <w:szCs w:val="24"/>
        </w:rPr>
      </w:pPr>
      <w:r w:rsidRPr="002C1621">
        <w:rPr>
          <w:rFonts w:ascii="Times New Roman" w:eastAsia="Times New Roman" w:hAnsi="Times New Roman" w:cs="Times New Roman"/>
          <w:kern w:val="0"/>
          <w:szCs w:val="24"/>
        </w:rPr>
        <w:t>2</w:t>
      </w:r>
      <w:r w:rsidR="00AD3C67">
        <w:rPr>
          <w:rFonts w:ascii="Times New Roman" w:eastAsia="Times New Roman" w:hAnsi="Times New Roman" w:cs="Times New Roman"/>
          <w:kern w:val="0"/>
          <w:szCs w:val="24"/>
        </w:rPr>
        <w:t>.</w:t>
      </w:r>
      <w:r w:rsidR="00AD3C67">
        <w:rPr>
          <w:rFonts w:ascii="Times New Roman" w:eastAsia="Times New Roman" w:hAnsi="Times New Roman" w:cs="Times New Roman"/>
          <w:kern w:val="0"/>
          <w:szCs w:val="24"/>
        </w:rPr>
        <w:br/>
      </w:r>
      <w:r w:rsidR="00AD3C67">
        <w:rPr>
          <w:rFonts w:ascii="Times New Roman" w:eastAsia="Times New Roman" w:hAnsi="Times New Roman" w:cs="Times New Roman"/>
          <w:kern w:val="0"/>
          <w:szCs w:val="24"/>
        </w:rPr>
        <w:br/>
      </w:r>
      <w:r w:rsidR="00AD3C67">
        <w:rPr>
          <w:rFonts w:ascii="Times New Roman" w:eastAsia="Times New Roman" w:hAnsi="Times New Roman" w:cs="Times New Roman"/>
          <w:kern w:val="0"/>
          <w:szCs w:val="24"/>
        </w:rPr>
        <w:br/>
      </w:r>
      <w:r w:rsidRPr="002C1621">
        <w:rPr>
          <w:rFonts w:ascii="Times New Roman" w:eastAsia="Times New Roman" w:hAnsi="Times New Roman" w:cs="Times New Roman"/>
          <w:kern w:val="0"/>
          <w:szCs w:val="24"/>
        </w:rPr>
        <w:t xml:space="preserve"> Using the results of part 1, calculate the Christopher Corporation’s January uncollectible accounts expense if January’s credit sales are $4,000,000</w:t>
      </w:r>
      <w:r w:rsidR="00AD3C67">
        <w:rPr>
          <w:rFonts w:ascii="Times New Roman" w:eastAsia="Times New Roman" w:hAnsi="Times New Roman" w:cs="Times New Roman"/>
          <w:kern w:val="0"/>
          <w:szCs w:val="24"/>
        </w:rPr>
        <w:t>.</w:t>
      </w:r>
      <w:r w:rsidR="00AD3C67">
        <w:rPr>
          <w:rFonts w:ascii="Times New Roman" w:eastAsia="Times New Roman" w:hAnsi="Times New Roman" w:cs="Times New Roman"/>
          <w:kern w:val="0"/>
          <w:szCs w:val="24"/>
        </w:rPr>
        <w:br/>
      </w:r>
      <w:r w:rsidR="00AD3C67">
        <w:rPr>
          <w:rFonts w:ascii="Times New Roman" w:eastAsia="Times New Roman" w:hAnsi="Times New Roman" w:cs="Times New Roman"/>
          <w:kern w:val="0"/>
          <w:szCs w:val="24"/>
        </w:rPr>
        <w:br/>
      </w:r>
      <w:r w:rsidR="00AD3C67">
        <w:rPr>
          <w:rFonts w:ascii="Times New Roman" w:eastAsia="Times New Roman" w:hAnsi="Times New Roman" w:cs="Times New Roman"/>
          <w:kern w:val="0"/>
          <w:szCs w:val="24"/>
        </w:rPr>
        <w:br/>
      </w:r>
      <w:r w:rsidRPr="002C1621">
        <w:rPr>
          <w:rFonts w:ascii="Times New Roman" w:eastAsia="Times New Roman" w:hAnsi="Times New Roman" w:cs="Times New Roman"/>
          <w:kern w:val="0"/>
          <w:szCs w:val="24"/>
        </w:rPr>
        <w:t xml:space="preserve"> </w:t>
      </w:r>
    </w:p>
    <w:p w:rsidR="002C1621" w:rsidRPr="002C1621" w:rsidRDefault="002C1621" w:rsidP="002C1621">
      <w:pPr>
        <w:widowControl/>
        <w:spacing w:before="100" w:beforeAutospacing="1" w:after="100" w:afterAutospacing="1"/>
        <w:ind w:left="720"/>
        <w:rPr>
          <w:rFonts w:ascii="Times New Roman" w:eastAsia="Times New Roman" w:hAnsi="Times New Roman" w:cs="Times New Roman"/>
          <w:kern w:val="0"/>
          <w:szCs w:val="24"/>
        </w:rPr>
      </w:pPr>
      <w:r w:rsidRPr="002C1621">
        <w:rPr>
          <w:rFonts w:ascii="Times New Roman" w:eastAsia="Times New Roman" w:hAnsi="Times New Roman" w:cs="Times New Roman"/>
          <w:color w:val="FF0000"/>
          <w:kern w:val="0"/>
          <w:szCs w:val="24"/>
        </w:rPr>
        <w:t>Uncollectible accounts expense = credit sales x percentage of credit sales not collected</w:t>
      </w:r>
      <w:r w:rsidRPr="002C1621">
        <w:rPr>
          <w:rFonts w:ascii="Times New Roman" w:eastAsia="Times New Roman" w:hAnsi="Times New Roman" w:cs="Times New Roman"/>
          <w:kern w:val="0"/>
          <w:szCs w:val="24"/>
        </w:rPr>
        <w:t xml:space="preserve"> </w:t>
      </w:r>
    </w:p>
    <w:p w:rsidR="002C1621" w:rsidRPr="002C1621" w:rsidRDefault="002C1621" w:rsidP="002C1621">
      <w:pPr>
        <w:widowControl/>
        <w:spacing w:before="100" w:beforeAutospacing="1" w:after="100" w:afterAutospacing="1"/>
        <w:ind w:left="720"/>
        <w:rPr>
          <w:rFonts w:ascii="Times New Roman" w:eastAsia="Times New Roman" w:hAnsi="Times New Roman" w:cs="Times New Roman"/>
          <w:kern w:val="0"/>
          <w:szCs w:val="24"/>
        </w:rPr>
      </w:pPr>
      <w:r w:rsidRPr="002C1621">
        <w:rPr>
          <w:rFonts w:ascii="Times New Roman" w:eastAsia="Times New Roman" w:hAnsi="Times New Roman" w:cs="Times New Roman"/>
          <w:color w:val="FF0000"/>
          <w:kern w:val="0"/>
          <w:szCs w:val="24"/>
        </w:rPr>
        <w:t xml:space="preserve">Uncollectible accounts expense = $4,000,000 </w:t>
      </w:r>
      <w:proofErr w:type="gramStart"/>
      <w:r w:rsidRPr="002C1621">
        <w:rPr>
          <w:rFonts w:ascii="Times New Roman" w:eastAsia="Times New Roman" w:hAnsi="Times New Roman" w:cs="Times New Roman"/>
          <w:color w:val="FF0000"/>
          <w:kern w:val="0"/>
          <w:szCs w:val="24"/>
        </w:rPr>
        <w:t xml:space="preserve">x </w:t>
      </w:r>
      <w:r w:rsidR="00AD3C67">
        <w:rPr>
          <w:rFonts w:ascii="Times New Roman" w:eastAsia="Times New Roman" w:hAnsi="Times New Roman" w:cs="Times New Roman"/>
          <w:color w:val="FF0000"/>
          <w:kern w:val="0"/>
          <w:szCs w:val="24"/>
        </w:rPr>
        <w:t>.</w:t>
      </w:r>
      <w:proofErr w:type="gramEnd"/>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color w:val="FF0000"/>
          <w:kern w:val="0"/>
          <w:szCs w:val="24"/>
        </w:rPr>
        <w:t>035 = $140,000</w:t>
      </w:r>
      <w:r w:rsidR="00AD3C67">
        <w:rPr>
          <w:rFonts w:ascii="Times New Roman" w:eastAsia="Times New Roman" w:hAnsi="Times New Roman" w:cs="Times New Roman"/>
          <w:color w:val="FF0000"/>
          <w:kern w:val="0"/>
          <w:szCs w:val="24"/>
        </w:rPr>
        <w:t>.</w:t>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00AD3C67">
        <w:rPr>
          <w:rFonts w:ascii="Times New Roman" w:eastAsia="Times New Roman" w:hAnsi="Times New Roman" w:cs="Times New Roman"/>
          <w:color w:val="FF0000"/>
          <w:kern w:val="0"/>
          <w:szCs w:val="24"/>
        </w:rPr>
        <w:br/>
      </w:r>
      <w:r w:rsidRPr="002C1621">
        <w:rPr>
          <w:rFonts w:ascii="Times New Roman" w:eastAsia="Times New Roman" w:hAnsi="Times New Roman" w:cs="Times New Roman"/>
          <w:kern w:val="0"/>
          <w:szCs w:val="24"/>
        </w:rPr>
        <w:lastRenderedPageBreak/>
        <w:t xml:space="preserve"> </w:t>
      </w:r>
      <w:r w:rsidRPr="002C1621">
        <w:rPr>
          <w:rFonts w:ascii="Times New Roman" w:eastAsia="Times New Roman" w:hAnsi="Times New Roman" w:cs="Times New Roman"/>
          <w:kern w:val="0"/>
          <w:szCs w:val="24"/>
        </w:rPr>
        <w:br/>
        <w:t xml:space="preserve">  </w:t>
      </w:r>
      <w:r w:rsidRPr="002C1621">
        <w:rPr>
          <w:rFonts w:ascii="Times New Roman" w:eastAsia="Times New Roman" w:hAnsi="Times New Roman" w:cs="Times New Roman"/>
          <w:kern w:val="0"/>
          <w:szCs w:val="24"/>
        </w:rPr>
        <w:br/>
        <w:t> </w:t>
      </w:r>
    </w:p>
    <w:p w:rsidR="002C1621" w:rsidRPr="002C1621" w:rsidRDefault="002C1621" w:rsidP="002C1621">
      <w:pPr>
        <w:widowControl/>
        <w:spacing w:before="100" w:beforeAutospacing="1" w:after="100" w:afterAutospacing="1"/>
        <w:rPr>
          <w:rFonts w:ascii="Times New Roman" w:eastAsia="Times New Roman" w:hAnsi="Times New Roman" w:cs="Times New Roman"/>
          <w:kern w:val="0"/>
          <w:szCs w:val="24"/>
        </w:rPr>
      </w:pPr>
      <w:r w:rsidRPr="002C1621">
        <w:rPr>
          <w:rFonts w:ascii="Times New Roman" w:eastAsia="Times New Roman" w:hAnsi="Times New Roman" w:cs="Times New Roman"/>
          <w:kern w:val="0"/>
          <w:szCs w:val="24"/>
        </w:rPr>
        <w:t>** You now have the background to do text exercise 7</w:t>
      </w:r>
      <w:r w:rsidR="00AD3C67">
        <w:rPr>
          <w:rFonts w:ascii="Times New Roman" w:eastAsia="Times New Roman" w:hAnsi="Times New Roman" w:cs="Times New Roman"/>
          <w:kern w:val="0"/>
          <w:szCs w:val="24"/>
        </w:rPr>
        <w:t>.</w:t>
      </w:r>
      <w:r w:rsidR="00AD3C67">
        <w:rPr>
          <w:rFonts w:ascii="Times New Roman" w:eastAsia="Times New Roman" w:hAnsi="Times New Roman" w:cs="Times New Roman"/>
          <w:kern w:val="0"/>
          <w:szCs w:val="24"/>
        </w:rPr>
        <w:br/>
      </w:r>
      <w:r w:rsidR="00AD3C67">
        <w:rPr>
          <w:rFonts w:ascii="Times New Roman" w:eastAsia="Times New Roman" w:hAnsi="Times New Roman" w:cs="Times New Roman"/>
          <w:kern w:val="0"/>
          <w:szCs w:val="24"/>
        </w:rPr>
        <w:br/>
      </w:r>
      <w:r w:rsidR="00AD3C67">
        <w:rPr>
          <w:rFonts w:ascii="Times New Roman" w:eastAsia="Times New Roman" w:hAnsi="Times New Roman" w:cs="Times New Roman"/>
          <w:kern w:val="0"/>
          <w:szCs w:val="24"/>
        </w:rPr>
        <w:br/>
      </w:r>
      <w:r w:rsidRPr="002C1621">
        <w:rPr>
          <w:rFonts w:ascii="Times New Roman" w:eastAsia="Times New Roman" w:hAnsi="Times New Roman" w:cs="Times New Roman"/>
          <w:kern w:val="0"/>
          <w:szCs w:val="24"/>
        </w:rPr>
        <w:t>6</w:t>
      </w:r>
      <w:r w:rsidR="00AD3C67">
        <w:rPr>
          <w:rFonts w:ascii="Times New Roman" w:eastAsia="Times New Roman" w:hAnsi="Times New Roman" w:cs="Times New Roman"/>
          <w:kern w:val="0"/>
          <w:szCs w:val="24"/>
        </w:rPr>
        <w:t>.</w:t>
      </w:r>
      <w:r w:rsidR="00AD3C67">
        <w:rPr>
          <w:rFonts w:ascii="Times New Roman" w:eastAsia="Times New Roman" w:hAnsi="Times New Roman" w:cs="Times New Roman"/>
          <w:kern w:val="0"/>
          <w:szCs w:val="24"/>
        </w:rPr>
        <w:br/>
      </w:r>
      <w:r w:rsidR="00AD3C67">
        <w:rPr>
          <w:rFonts w:ascii="Times New Roman" w:eastAsia="Times New Roman" w:hAnsi="Times New Roman" w:cs="Times New Roman"/>
          <w:kern w:val="0"/>
          <w:szCs w:val="24"/>
        </w:rPr>
        <w:br/>
      </w:r>
      <w:r w:rsidR="00AD3C67">
        <w:rPr>
          <w:rFonts w:ascii="Times New Roman" w:eastAsia="Times New Roman" w:hAnsi="Times New Roman" w:cs="Times New Roman"/>
          <w:kern w:val="0"/>
          <w:szCs w:val="24"/>
        </w:rPr>
        <w:br/>
      </w:r>
      <w:r w:rsidRPr="002C1621">
        <w:rPr>
          <w:rFonts w:ascii="Times New Roman" w:eastAsia="Times New Roman" w:hAnsi="Times New Roman" w:cs="Times New Roman"/>
          <w:kern w:val="0"/>
          <w:szCs w:val="24"/>
        </w:rPr>
        <w:t xml:space="preserve"> </w:t>
      </w:r>
    </w:p>
    <w:p w:rsidR="00DC7CEE" w:rsidRPr="002C1621" w:rsidRDefault="00DC7CEE"/>
    <w:sectPr w:rsidR="00DC7CEE" w:rsidRPr="002C1621" w:rsidSect="0055040A">
      <w:footerReference w:type="default" r:id="rId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2C09" w:rsidRDefault="00B92C09" w:rsidP="0055040A">
      <w:r>
        <w:separator/>
      </w:r>
    </w:p>
  </w:endnote>
  <w:endnote w:type="continuationSeparator" w:id="0">
    <w:p w:rsidR="00B92C09" w:rsidRDefault="00B92C09" w:rsidP="00550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103292"/>
      <w:docPartObj>
        <w:docPartGallery w:val="Page Numbers (Bottom of Page)"/>
        <w:docPartUnique/>
      </w:docPartObj>
    </w:sdtPr>
    <w:sdtEndPr/>
    <w:sdtContent>
      <w:p w:rsidR="00E12B96" w:rsidRDefault="00E12B96">
        <w:pPr>
          <w:pStyle w:val="a5"/>
          <w:jc w:val="center"/>
        </w:pPr>
        <w:r>
          <w:fldChar w:fldCharType="begin"/>
        </w:r>
        <w:r>
          <w:instrText>PAGE   \* MERGEFORMAT</w:instrText>
        </w:r>
        <w:r>
          <w:fldChar w:fldCharType="separate"/>
        </w:r>
        <w:r w:rsidR="00AD3C67" w:rsidRPr="00AD3C67">
          <w:rPr>
            <w:noProof/>
            <w:lang w:val="zh-TW"/>
          </w:rPr>
          <w:t>1</w:t>
        </w:r>
        <w:r>
          <w:fldChar w:fldCharType="end"/>
        </w:r>
      </w:p>
    </w:sdtContent>
  </w:sdt>
  <w:p w:rsidR="00E12B96" w:rsidRDefault="00E12B9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2C09" w:rsidRDefault="00B92C09" w:rsidP="0055040A">
      <w:r>
        <w:separator/>
      </w:r>
    </w:p>
  </w:footnote>
  <w:footnote w:type="continuationSeparator" w:id="0">
    <w:p w:rsidR="00B92C09" w:rsidRDefault="00B92C09" w:rsidP="005504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A3C"/>
    <w:rsid w:val="00002A3C"/>
    <w:rsid w:val="001B0FC5"/>
    <w:rsid w:val="002C1621"/>
    <w:rsid w:val="0055040A"/>
    <w:rsid w:val="00AD3C67"/>
    <w:rsid w:val="00B92C09"/>
    <w:rsid w:val="00DC7CEE"/>
    <w:rsid w:val="00E12B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040A"/>
    <w:pPr>
      <w:tabs>
        <w:tab w:val="center" w:pos="4153"/>
        <w:tab w:val="right" w:pos="8306"/>
      </w:tabs>
      <w:snapToGrid w:val="0"/>
    </w:pPr>
    <w:rPr>
      <w:sz w:val="20"/>
      <w:szCs w:val="20"/>
    </w:rPr>
  </w:style>
  <w:style w:type="character" w:customStyle="1" w:styleId="a4">
    <w:name w:val="頁首 字元"/>
    <w:basedOn w:val="a0"/>
    <w:link w:val="a3"/>
    <w:uiPriority w:val="99"/>
    <w:rsid w:val="0055040A"/>
    <w:rPr>
      <w:sz w:val="20"/>
      <w:szCs w:val="20"/>
    </w:rPr>
  </w:style>
  <w:style w:type="paragraph" w:styleId="a5">
    <w:name w:val="footer"/>
    <w:basedOn w:val="a"/>
    <w:link w:val="a6"/>
    <w:uiPriority w:val="99"/>
    <w:unhideWhenUsed/>
    <w:rsid w:val="0055040A"/>
    <w:pPr>
      <w:tabs>
        <w:tab w:val="center" w:pos="4153"/>
        <w:tab w:val="right" w:pos="8306"/>
      </w:tabs>
      <w:snapToGrid w:val="0"/>
    </w:pPr>
    <w:rPr>
      <w:sz w:val="20"/>
      <w:szCs w:val="20"/>
    </w:rPr>
  </w:style>
  <w:style w:type="character" w:customStyle="1" w:styleId="a6">
    <w:name w:val="頁尾 字元"/>
    <w:basedOn w:val="a0"/>
    <w:link w:val="a5"/>
    <w:uiPriority w:val="99"/>
    <w:rsid w:val="0055040A"/>
    <w:rPr>
      <w:sz w:val="20"/>
      <w:szCs w:val="20"/>
    </w:rPr>
  </w:style>
  <w:style w:type="paragraph" w:styleId="Web">
    <w:name w:val="Normal (Web)"/>
    <w:basedOn w:val="a"/>
    <w:rsid w:val="002C1621"/>
    <w:pPr>
      <w:widowControl/>
      <w:spacing w:before="100" w:beforeAutospacing="1" w:after="100" w:afterAutospacing="1"/>
    </w:pPr>
    <w:rPr>
      <w:rFonts w:ascii="Times New Roman" w:eastAsia="Times New Roman" w:hAnsi="Times New Roman" w:cs="Times New Roman"/>
      <w:kern w:val="0"/>
      <w:szCs w:val="24"/>
    </w:rPr>
  </w:style>
  <w:style w:type="table" w:customStyle="1" w:styleId="TableNormal">
    <w:name w:val="Table Normal"/>
    <w:semiHidden/>
    <w:rsid w:val="002C1621"/>
    <w:rPr>
      <w:rFonts w:ascii="Times New Roman" w:eastAsia="Times New Roman" w:hAnsi="Times New Roman" w:cs="Times New Roman"/>
      <w:kern w:val="0"/>
      <w:sz w:val="20"/>
      <w:szCs w:val="20"/>
    </w:rPr>
    <w:tblPr>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040A"/>
    <w:pPr>
      <w:tabs>
        <w:tab w:val="center" w:pos="4153"/>
        <w:tab w:val="right" w:pos="8306"/>
      </w:tabs>
      <w:snapToGrid w:val="0"/>
    </w:pPr>
    <w:rPr>
      <w:sz w:val="20"/>
      <w:szCs w:val="20"/>
    </w:rPr>
  </w:style>
  <w:style w:type="character" w:customStyle="1" w:styleId="a4">
    <w:name w:val="頁首 字元"/>
    <w:basedOn w:val="a0"/>
    <w:link w:val="a3"/>
    <w:uiPriority w:val="99"/>
    <w:rsid w:val="0055040A"/>
    <w:rPr>
      <w:sz w:val="20"/>
      <w:szCs w:val="20"/>
    </w:rPr>
  </w:style>
  <w:style w:type="paragraph" w:styleId="a5">
    <w:name w:val="footer"/>
    <w:basedOn w:val="a"/>
    <w:link w:val="a6"/>
    <w:uiPriority w:val="99"/>
    <w:unhideWhenUsed/>
    <w:rsid w:val="0055040A"/>
    <w:pPr>
      <w:tabs>
        <w:tab w:val="center" w:pos="4153"/>
        <w:tab w:val="right" w:pos="8306"/>
      </w:tabs>
      <w:snapToGrid w:val="0"/>
    </w:pPr>
    <w:rPr>
      <w:sz w:val="20"/>
      <w:szCs w:val="20"/>
    </w:rPr>
  </w:style>
  <w:style w:type="character" w:customStyle="1" w:styleId="a6">
    <w:name w:val="頁尾 字元"/>
    <w:basedOn w:val="a0"/>
    <w:link w:val="a5"/>
    <w:uiPriority w:val="99"/>
    <w:rsid w:val="0055040A"/>
    <w:rPr>
      <w:sz w:val="20"/>
      <w:szCs w:val="20"/>
    </w:rPr>
  </w:style>
  <w:style w:type="paragraph" w:styleId="Web">
    <w:name w:val="Normal (Web)"/>
    <w:basedOn w:val="a"/>
    <w:rsid w:val="002C1621"/>
    <w:pPr>
      <w:widowControl/>
      <w:spacing w:before="100" w:beforeAutospacing="1" w:after="100" w:afterAutospacing="1"/>
    </w:pPr>
    <w:rPr>
      <w:rFonts w:ascii="Times New Roman" w:eastAsia="Times New Roman" w:hAnsi="Times New Roman" w:cs="Times New Roman"/>
      <w:kern w:val="0"/>
      <w:szCs w:val="24"/>
    </w:rPr>
  </w:style>
  <w:style w:type="table" w:customStyle="1" w:styleId="TableNormal">
    <w:name w:val="Table Normal"/>
    <w:semiHidden/>
    <w:rsid w:val="002C1621"/>
    <w:rPr>
      <w:rFonts w:ascii="Times New Roman" w:eastAsia="Times New Roman" w:hAnsi="Times New Roman" w:cs="Times New Roman"/>
      <w:kern w:val="0"/>
      <w:sz w:val="20"/>
      <w:szCs w:val="20"/>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591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1584</Words>
  <Characters>9033</Characters>
  <Application>Microsoft Office Word</Application>
  <DocSecurity>0</DocSecurity>
  <Lines>75</Lines>
  <Paragraphs>21</Paragraphs>
  <ScaleCrop>false</ScaleCrop>
  <Company>Hewlett-Packard</Company>
  <LinksUpToDate>false</LinksUpToDate>
  <CharactersWithSpaces>10596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2014-11-02T14:21:00Z</dcterms:created>
  <dcterms:modified xsi:type="dcterms:W3CDTF">2014-11-02T15:22:00Z</dcterms:modified>
</cp:coreProperties>
</file>