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2B41" w14:textId="3EB76D45" w:rsidR="00D533FC" w:rsidRDefault="00AC0466" w:rsidP="00AE0040">
      <w:pPr>
        <w:pStyle w:val="11"/>
      </w:pPr>
      <w:r>
        <w:t>Φόρτιση πυκνωτή</w:t>
      </w:r>
    </w:p>
    <w:p w14:paraId="60BAF522" w14:textId="7721B6E0" w:rsidR="00AC0466" w:rsidRDefault="00AC0466" w:rsidP="00AC0466">
      <w:r>
        <w:t>Ένας πυκνωτής χωρητικότητας C φορτίζεται από μια πηγή με ΗΕΔ Ε, μέσω αντίστασης και στο σχήμα, δίνονται δύο εκδοχές. Στο (</w:t>
      </w:r>
      <w:r w:rsidR="00847D47">
        <w:t>1</w:t>
      </w:r>
      <w:r>
        <w:t>) κύκλωμα η φόρτιση γίνεται μέσω αντίστασης R, ενώ στο (</w:t>
      </w:r>
      <w:r w:rsidR="00847D47">
        <w:t>2</w:t>
      </w:r>
      <w:r>
        <w:t>) μέσω αντίστασης 2R.</w:t>
      </w:r>
    </w:p>
    <w:p w14:paraId="7EB0C99E" w14:textId="5D6710A6" w:rsidR="00AC0466" w:rsidRDefault="00A80681" w:rsidP="00847D47">
      <w:pPr>
        <w:jc w:val="center"/>
      </w:pPr>
      <w:r>
        <w:object w:dxaOrig="6310" w:dyaOrig="2228" w14:anchorId="01FC7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15.8pt;height:111.2pt" o:ole="">
            <v:imagedata r:id="rId8" o:title=""/>
          </v:shape>
          <o:OLEObject Type="Embed" ProgID="Visio.Drawing.11" ShapeID="_x0000_i1039" DrawAspect="Content" ObjectID="_1814621122" r:id="rId9"/>
        </w:object>
      </w:r>
    </w:p>
    <w:p w14:paraId="2E7A0909" w14:textId="5D3E0FAD" w:rsidR="00847D47" w:rsidRDefault="00847D47" w:rsidP="005270DF">
      <w:pPr>
        <w:ind w:left="453" w:hanging="340"/>
      </w:pPr>
      <w:r>
        <w:t>i) Μεγαλύτερο φορτίο αποκτά ο πυκνωτής στο κύκλωμα:</w:t>
      </w:r>
    </w:p>
    <w:p w14:paraId="3D89436E" w14:textId="44F78E69" w:rsidR="00847D47" w:rsidRDefault="00847D47" w:rsidP="005270DF">
      <w:pPr>
        <w:jc w:val="center"/>
      </w:pPr>
      <w:r>
        <w:t>α) (1),      β) (2),      γ) αποκτά το ίδιο φορτίο.</w:t>
      </w:r>
    </w:p>
    <w:p w14:paraId="0F574F2E" w14:textId="0247AC1C" w:rsidR="00847D47" w:rsidRPr="00AC0466" w:rsidRDefault="00847D47" w:rsidP="005270DF">
      <w:pPr>
        <w:ind w:left="453" w:hanging="340"/>
      </w:pPr>
      <w:r>
        <w:t xml:space="preserve">ii) Μεγαλύτερη ενέργεια για την φόρτιση θα </w:t>
      </w:r>
      <w:r w:rsidR="002C368A">
        <w:t>προσφέρει η πηγή, στο κύκλωμα:</w:t>
      </w:r>
    </w:p>
    <w:p w14:paraId="49CF2C24" w14:textId="3B9B9D1F" w:rsidR="00AC562E" w:rsidRDefault="002C368A" w:rsidP="00AC562E">
      <w:pPr>
        <w:jc w:val="center"/>
      </w:pPr>
      <w:r>
        <w:t xml:space="preserve">α) (1),      β) (2),      γ) </w:t>
      </w:r>
      <w:r w:rsidR="009828C0">
        <w:t>θα προσφέρει ίσα ποσά ενέργειας</w:t>
      </w:r>
      <w:r>
        <w:t>.</w:t>
      </w:r>
    </w:p>
    <w:p w14:paraId="38997011" w14:textId="1E6DC56A" w:rsidR="00AC562E" w:rsidRDefault="002C368A" w:rsidP="005270DF">
      <w:pPr>
        <w:ind w:left="453" w:hanging="340"/>
        <w:rPr>
          <w:lang w:eastAsia="zh-CN"/>
        </w:rPr>
      </w:pPr>
      <w:r>
        <w:rPr>
          <w:lang w:eastAsia="zh-CN"/>
        </w:rPr>
        <w:t>iii)</w:t>
      </w:r>
      <w:r w:rsidR="00AC562E">
        <w:rPr>
          <w:lang w:eastAsia="zh-CN"/>
        </w:rPr>
        <w:t xml:space="preserve"> Πόση θερμότητα παράγεται σε κάθε αντίσταση στα δυο κυκλώματα, στη διάρκεια της φόρτισης;</w:t>
      </w:r>
    </w:p>
    <w:p w14:paraId="25965F71" w14:textId="1A67E0F2" w:rsidR="009B3F35" w:rsidRDefault="00AC562E" w:rsidP="005270DF">
      <w:pPr>
        <w:ind w:left="453" w:hanging="340"/>
        <w:rPr>
          <w:lang w:eastAsia="zh-CN"/>
        </w:rPr>
      </w:pPr>
      <w:r>
        <w:rPr>
          <w:lang w:eastAsia="zh-CN"/>
        </w:rPr>
        <w:t xml:space="preserve">iv) </w:t>
      </w:r>
      <w:r w:rsidR="002C368A">
        <w:rPr>
          <w:lang w:eastAsia="zh-CN"/>
        </w:rPr>
        <w:t xml:space="preserve"> </w:t>
      </w:r>
      <w:r w:rsidR="002C368A" w:rsidRPr="005270DF">
        <w:rPr>
          <w:b/>
          <w:bCs/>
          <w:color w:val="EE0000"/>
          <w:lang w:eastAsia="zh-CN"/>
        </w:rPr>
        <w:t>Για καθηγητές</w:t>
      </w:r>
      <w:r w:rsidR="002C368A">
        <w:rPr>
          <w:lang w:eastAsia="zh-CN"/>
        </w:rPr>
        <w:t>: Να γίνει το διάγραμμα του φορτίου του πυκνωτή, σε συνάρτηση με το χρόνο, για τα δύο κυκλώματα,  στο ίδιο διάγραμμα.</w:t>
      </w:r>
    </w:p>
    <w:p w14:paraId="4F732CB8" w14:textId="2A81B539" w:rsidR="002C368A" w:rsidRDefault="002C368A" w:rsidP="00A44AD3">
      <w:pPr>
        <w:pStyle w:val="a9"/>
      </w:pPr>
      <w:r>
        <w:t>Απάντηση:</w:t>
      </w:r>
    </w:p>
    <w:p w14:paraId="47D0703A" w14:textId="2ECC1927" w:rsidR="002C368A" w:rsidRDefault="00D726E5" w:rsidP="00D726E5">
      <w:pPr>
        <w:pStyle w:val="i"/>
      </w:pPr>
      <w:r>
        <w:t>Η φόρτιση του πυκνωτή ολοκληρώνεται όταν η τάση μεταξύ των οπλισμών του γίνει ίση με την ΗΕΔ της πηγής, αφού τότε ο αντιστάτης δεν θα διαρρέεται από ηλεκτρικό ρεύμα. Πράγματι αν πάρουμε μια τυχαία στιγμή, στη διάρκεια της φόρτισης, το 2</w:t>
      </w:r>
      <w:r w:rsidRPr="00D726E5">
        <w:rPr>
          <w:vertAlign w:val="superscript"/>
        </w:rPr>
        <w:t>ο</w:t>
      </w:r>
      <w:r>
        <w:t xml:space="preserve"> κανόνα του </w:t>
      </w:r>
      <w:r>
        <w:rPr>
          <w:lang w:val="en-US"/>
        </w:rPr>
        <w:t>Kirchhoff</w:t>
      </w:r>
      <w:r w:rsidRPr="00D726E5">
        <w:t xml:space="preserve"> ,</w:t>
      </w:r>
      <w:r>
        <w:t xml:space="preserve"> θα έχουμε:</w:t>
      </w:r>
    </w:p>
    <w:p w14:paraId="49C4D73C" w14:textId="3CFE8AED" w:rsidR="00D726E5" w:rsidRDefault="00D726E5" w:rsidP="00D726E5">
      <w:pPr>
        <w:jc w:val="center"/>
        <w:rPr>
          <w:lang w:val="en-US"/>
        </w:rPr>
      </w:pPr>
      <w:r w:rsidRPr="00943DAB">
        <w:rPr>
          <w:position w:val="-12"/>
        </w:rPr>
        <w:object w:dxaOrig="1460" w:dyaOrig="360" w14:anchorId="7D944A97">
          <v:shape id="_x0000_i1026" type="#_x0000_t75" style="width:73pt;height:18.1pt" o:ole="">
            <v:imagedata r:id="rId10" o:title=""/>
          </v:shape>
          <o:OLEObject Type="Embed" ProgID="Equation.DSMT4" ShapeID="_x0000_i1026" DrawAspect="Content" ObjectID="_1814621123" r:id="rId11"/>
        </w:object>
      </w:r>
    </w:p>
    <w:p w14:paraId="7D26E017" w14:textId="5682E65B" w:rsidR="00A5797A" w:rsidRDefault="00A5797A" w:rsidP="00A5797A">
      <w:pPr>
        <w:ind w:left="340"/>
      </w:pPr>
      <w:r>
        <w:t xml:space="preserve">Οπότε όταν </w:t>
      </w:r>
      <w:proofErr w:type="spellStart"/>
      <w:r>
        <w:t>V</w:t>
      </w:r>
      <w:r>
        <w:rPr>
          <w:vertAlign w:val="subscript"/>
        </w:rPr>
        <w:t>c</w:t>
      </w:r>
      <w:proofErr w:type="spellEnd"/>
      <w:r>
        <w:t>=Ε, η ένταση μηδενίζεται</w:t>
      </w:r>
      <w:r w:rsidR="00021222" w:rsidRPr="00021222">
        <w:t xml:space="preserve"> </w:t>
      </w:r>
      <w:r w:rsidR="00021222">
        <w:t xml:space="preserve">και έτσι </w:t>
      </w:r>
      <w:r>
        <w:t>σταματά και η συσσώρευση φορτίων στους οπλισμούς του πυκνωτή.</w:t>
      </w:r>
      <w:r w:rsidR="00A44AD3">
        <w:t xml:space="preserve"> Αλλά τότε για το τελικό φορτίο του πυκνωτή θα έχουμε:</w:t>
      </w:r>
    </w:p>
    <w:p w14:paraId="51613806" w14:textId="12B7265C" w:rsidR="00A44AD3" w:rsidRDefault="009979C8" w:rsidP="00A44AD3">
      <w:pPr>
        <w:ind w:left="340"/>
        <w:jc w:val="center"/>
        <w:rPr>
          <w:lang w:val="en-US"/>
        </w:rPr>
      </w:pPr>
      <w:r w:rsidRPr="00A44AD3">
        <w:rPr>
          <w:position w:val="-24"/>
        </w:rPr>
        <w:object w:dxaOrig="2320" w:dyaOrig="620" w14:anchorId="46257ECA">
          <v:shape id="_x0000_i1027" type="#_x0000_t75" style="width:116.2pt;height:30.8pt" o:ole="">
            <v:imagedata r:id="rId12" o:title=""/>
          </v:shape>
          <o:OLEObject Type="Embed" ProgID="Equation.DSMT4" ShapeID="_x0000_i1027" DrawAspect="Content" ObjectID="_1814621124" r:id="rId13"/>
        </w:object>
      </w:r>
    </w:p>
    <w:p w14:paraId="0AE1EB7A" w14:textId="1266E2B9" w:rsidR="00A44AD3" w:rsidRDefault="00A44AD3" w:rsidP="00A44AD3">
      <w:pPr>
        <w:ind w:left="340"/>
      </w:pPr>
      <w:r>
        <w:t>Βλέπουμε ότι το φορτίο αυτό δεν εξαρτάται από την τιμή της αντίστασης του κυκλώματος, συνεπώς σωστή απάντηση είναι η γ).</w:t>
      </w:r>
    </w:p>
    <w:p w14:paraId="7DA26333" w14:textId="221E4020" w:rsidR="00A44AD3" w:rsidRDefault="005C648C" w:rsidP="005C648C">
      <w:pPr>
        <w:pStyle w:val="i"/>
      </w:pPr>
      <w:r>
        <w:t>Από τον ορισμό της ΗΕΔ της πηγής έχουμε</w:t>
      </w:r>
      <w:r w:rsidRPr="005C648C">
        <w:t xml:space="preserve">,  </w:t>
      </w:r>
      <w:r>
        <w:t>για την ενέργεια που παρέχει η πηγή στο ηλεκτρικό ρεύμα στη διάρκεια της φόρτισης:</w:t>
      </w:r>
    </w:p>
    <w:p w14:paraId="45EA29EE" w14:textId="2AF8944A" w:rsidR="005C648C" w:rsidRPr="00A44AD3" w:rsidRDefault="009979C8" w:rsidP="005C648C">
      <w:pPr>
        <w:jc w:val="center"/>
      </w:pPr>
      <w:r w:rsidRPr="005C648C">
        <w:rPr>
          <w:position w:val="-28"/>
        </w:rPr>
        <w:object w:dxaOrig="2000" w:dyaOrig="660" w14:anchorId="72CA47BE">
          <v:shape id="_x0000_i1028" type="#_x0000_t75" style="width:100.15pt;height:33.15pt" o:ole="">
            <v:imagedata r:id="rId14" o:title=""/>
          </v:shape>
          <o:OLEObject Type="Embed" ProgID="Equation.DSMT4" ShapeID="_x0000_i1028" DrawAspect="Content" ObjectID="_1814621125" r:id="rId15"/>
        </w:object>
      </w:r>
    </w:p>
    <w:p w14:paraId="4302A31E" w14:textId="506762B3" w:rsidR="00A5797A" w:rsidRDefault="005C648C" w:rsidP="0010052A">
      <w:pPr>
        <w:ind w:left="340"/>
      </w:pPr>
      <w:r>
        <w:t xml:space="preserve">Αλλά αφού και στα δύο παραπάνω κυκλώματα, ο πυκνωτής αποκτά το ίδιο φορτίο, </w:t>
      </w:r>
      <w:r w:rsidR="00021222">
        <w:t xml:space="preserve">οπότε το ίδιο φορτίο </w:t>
      </w:r>
      <w:r w:rsidR="00021222">
        <w:lastRenderedPageBreak/>
        <w:t xml:space="preserve">περνά και από την πηγή Ε και στα δύο κυκλώματα, </w:t>
      </w:r>
      <w:r>
        <w:t xml:space="preserve"> οι ενέργειες που παρέχει η πηγή </w:t>
      </w:r>
      <w:r w:rsidR="00021222">
        <w:t>στα φορτία και στις  δύο περιπτώσεις</w:t>
      </w:r>
      <w:r>
        <w:t>, είναι ίσες. Σωστό το γ).</w:t>
      </w:r>
    </w:p>
    <w:p w14:paraId="1BA41E3D" w14:textId="4D2320A2" w:rsidR="000C2E10" w:rsidRDefault="009979C8" w:rsidP="000C2E10">
      <w:pPr>
        <w:pStyle w:val="i"/>
      </w:pPr>
      <w:r>
        <w:t xml:space="preserve">Αν U η ενέργεια που μεταφέρεται στον πυκνωτή κατά τη φόρτιση, ίση με την ηλεκτρική του ενέργεια και </w:t>
      </w:r>
      <w:proofErr w:type="spellStart"/>
      <w:r>
        <w:t>Q</w:t>
      </w:r>
      <w:r w:rsidR="00955489">
        <w:rPr>
          <w:vertAlign w:val="subscript"/>
        </w:rPr>
        <w:t>θ</w:t>
      </w:r>
      <w:proofErr w:type="spellEnd"/>
      <w:r>
        <w:t xml:space="preserve"> η θερμότητα που παράγεται πάνω στην αντίσταση, στη διάρκεια της φόρτισης, τότε η διατήρησης της ενέργειας επιβάλει (</w:t>
      </w:r>
      <w:proofErr w:type="spellStart"/>
      <w:r>
        <w:t>W</w:t>
      </w:r>
      <w:r>
        <w:rPr>
          <w:vertAlign w:val="subscript"/>
        </w:rPr>
        <w:t>ολ</w:t>
      </w:r>
      <w:proofErr w:type="spellEnd"/>
      <w:r>
        <w:t xml:space="preserve"> η αντίστοιχη ενέργεια που παρέχει η πηγή):</w:t>
      </w:r>
    </w:p>
    <w:p w14:paraId="7629052B" w14:textId="1679D769" w:rsidR="009979C8" w:rsidRPr="009979C8" w:rsidRDefault="00955489" w:rsidP="00955489">
      <w:pPr>
        <w:jc w:val="center"/>
        <w:rPr>
          <w:lang w:val="en-US"/>
        </w:rPr>
      </w:pPr>
      <w:r w:rsidRPr="009C48C9">
        <w:rPr>
          <w:position w:val="-58"/>
        </w:rPr>
        <w:object w:dxaOrig="3440" w:dyaOrig="1280" w14:anchorId="43D67CAD">
          <v:shape id="_x0000_i1029" type="#_x0000_t75" style="width:172.15pt;height:63.95pt" o:ole="">
            <v:imagedata r:id="rId16" o:title=""/>
          </v:shape>
          <o:OLEObject Type="Embed" ProgID="Equation.DSMT4" ShapeID="_x0000_i1029" DrawAspect="Content" ObjectID="_1814621126" r:id="rId17"/>
        </w:object>
      </w:r>
    </w:p>
    <w:p w14:paraId="16722C8A" w14:textId="59622BD3" w:rsidR="005C648C" w:rsidRDefault="00955489" w:rsidP="0010052A">
      <w:pPr>
        <w:ind w:left="340"/>
      </w:pPr>
      <w:r>
        <w:t>Βλέπουμε ότι η παραγόμενη θερμότητα στην αντίσταση, δεν εξαρτάται από την τιμή της αντίστασης! Δηλαδή παραπάνω και στα  δύο κυκλώματα παράγεται το ίδιο ποσό θερμότητας.</w:t>
      </w:r>
    </w:p>
    <w:p w14:paraId="54A74361" w14:textId="722F0046" w:rsidR="00955489" w:rsidRPr="009828C0" w:rsidRDefault="00955489" w:rsidP="0010052A">
      <w:pPr>
        <w:ind w:left="340"/>
      </w:pPr>
      <w:r>
        <w:t xml:space="preserve">Αξίζει να προσέξουμε ότι η θερμότητα αυτή είναι πάντα ίση με την ενέργεια που αποθηκεύεται στον πυκνωτή. Με άλλα λόγια το 50% της ενέργειας που παρέχει η πηγή στο κύκλωμα αποθηκεύεται στον πυκνωτή και το υπόλοιπο 50% μετατρέπεται σε θερμότητα </w:t>
      </w:r>
      <w:r>
        <w:rPr>
          <w:lang w:val="en-US"/>
        </w:rPr>
        <w:t>Joyle</w:t>
      </w:r>
      <w:r w:rsidR="00021222">
        <w:t>, πάνω στην αντίσταση R</w:t>
      </w:r>
      <w:r w:rsidRPr="00955489">
        <w:t>.</w:t>
      </w:r>
    </w:p>
    <w:p w14:paraId="73183F18" w14:textId="47C8EDC3" w:rsidR="005E727F" w:rsidRDefault="005E727F" w:rsidP="005E727F">
      <w:pPr>
        <w:pStyle w:val="i"/>
      </w:pPr>
      <w:r>
        <w:t>Εφαρμόζοντας τον 2</w:t>
      </w:r>
      <w:r w:rsidRPr="0007397D">
        <w:rPr>
          <w:vertAlign w:val="superscript"/>
        </w:rPr>
        <w:t>ο</w:t>
      </w:r>
      <w:r>
        <w:t xml:space="preserve"> κανόνα του </w:t>
      </w:r>
      <w:r w:rsidRPr="0007397D">
        <w:rPr>
          <w:lang w:val="en-US"/>
        </w:rPr>
        <w:t>Kirchhoff</w:t>
      </w:r>
      <w:r w:rsidRPr="0007397D">
        <w:t xml:space="preserve"> </w:t>
      </w:r>
      <w:r>
        <w:t>σ</w:t>
      </w:r>
      <w:r>
        <w:rPr>
          <w:lang w:val="en-US"/>
        </w:rPr>
        <w:t>e</w:t>
      </w:r>
      <w:r w:rsidRPr="005E727F">
        <w:t xml:space="preserve"> </w:t>
      </w:r>
      <w:r>
        <w:t>ένα κύκλωμα όπως τα παραπάνω με αντίσταση R΄ παίρνουμε:</w:t>
      </w:r>
      <w:r w:rsidRPr="0007397D">
        <w:rPr>
          <w:position w:val="-10"/>
        </w:rPr>
        <w:object w:dxaOrig="180" w:dyaOrig="340" w14:anchorId="49FB0786">
          <v:shape id="_x0000_i1030" type="#_x0000_t75" style="width:9.4pt;height:17.1pt" o:ole="">
            <v:imagedata r:id="rId18" o:title=""/>
          </v:shape>
          <o:OLEObject Type="Embed" ProgID="Equation.3" ShapeID="_x0000_i1030" DrawAspect="Content" ObjectID="_1814621127" r:id="rId19"/>
        </w:object>
      </w:r>
    </w:p>
    <w:p w14:paraId="04397B40" w14:textId="50906C34" w:rsidR="005E727F" w:rsidRDefault="005E727F" w:rsidP="00021222">
      <w:pPr>
        <w:jc w:val="center"/>
      </w:pPr>
      <w:r w:rsidRPr="0007397D">
        <w:rPr>
          <w:position w:val="-10"/>
        </w:rPr>
        <w:object w:dxaOrig="180" w:dyaOrig="340" w14:anchorId="3E5C75EC">
          <v:shape id="_x0000_i1031" type="#_x0000_t75" style="width:9.4pt;height:17.1pt" o:ole="">
            <v:imagedata r:id="rId18" o:title=""/>
          </v:shape>
          <o:OLEObject Type="Embed" ProgID="Equation.3" ShapeID="_x0000_i1031" DrawAspect="Content" ObjectID="_1814621128" r:id="rId20"/>
        </w:object>
      </w:r>
      <w:r w:rsidR="00021222" w:rsidRPr="0007397D">
        <w:rPr>
          <w:position w:val="-24"/>
        </w:rPr>
        <w:object w:dxaOrig="3320" w:dyaOrig="620" w14:anchorId="7C24BB31">
          <v:shape id="_x0000_i1041" type="#_x0000_t75" style="width:166.45pt;height:30.45pt" o:ole="">
            <v:imagedata r:id="rId21" o:title=""/>
          </v:shape>
          <o:OLEObject Type="Embed" ProgID="Equation.DSMT4" ShapeID="_x0000_i1041" DrawAspect="Content" ObjectID="_1814621129" r:id="rId22"/>
        </w:object>
      </w:r>
      <w:r>
        <w:t xml:space="preserve"> ή</w:t>
      </w:r>
    </w:p>
    <w:p w14:paraId="2C39FFB9" w14:textId="7E3BFB26" w:rsidR="005E727F" w:rsidRDefault="005E727F" w:rsidP="005E727F">
      <w:pPr>
        <w:jc w:val="center"/>
      </w:pPr>
      <w:r w:rsidRPr="0007397D">
        <w:rPr>
          <w:position w:val="-24"/>
        </w:rPr>
        <w:object w:dxaOrig="1920" w:dyaOrig="620" w14:anchorId="282E4C8D">
          <v:shape id="_x0000_i1033" type="#_x0000_t75" style="width:96.1pt;height:30.45pt" o:ole="">
            <v:imagedata r:id="rId23" o:title=""/>
          </v:shape>
          <o:OLEObject Type="Embed" ProgID="Equation.DSMT4" ShapeID="_x0000_i1033" DrawAspect="Content" ObjectID="_1814621130" r:id="rId24"/>
        </w:object>
      </w:r>
      <w:r>
        <w:t xml:space="preserve"> (1)</w:t>
      </w:r>
    </w:p>
    <w:p w14:paraId="128F7C75" w14:textId="21D30654" w:rsidR="005E727F" w:rsidRDefault="005E727F" w:rsidP="0010052A">
      <w:pPr>
        <w:ind w:left="340"/>
      </w:pPr>
      <w:r>
        <w:t>Η παραπάνω διαφορική εξίσωση έχει λύση της μορφής:</w:t>
      </w:r>
    </w:p>
    <w:p w14:paraId="048197C5" w14:textId="5421DBB4" w:rsidR="005E727F" w:rsidRDefault="005E727F" w:rsidP="005E727F">
      <w:pPr>
        <w:ind w:left="426"/>
        <w:jc w:val="center"/>
      </w:pPr>
      <w:r w:rsidRPr="005E727F">
        <w:rPr>
          <w:position w:val="-32"/>
        </w:rPr>
        <w:object w:dxaOrig="1820" w:dyaOrig="760" w14:anchorId="3AB5FF84">
          <v:shape id="_x0000_i1034" type="#_x0000_t75" style="width:90.75pt;height:38.2pt" o:ole="">
            <v:imagedata r:id="rId25" o:title=""/>
          </v:shape>
          <o:OLEObject Type="Embed" ProgID="Equation.DSMT4" ShapeID="_x0000_i1034" DrawAspect="Content" ObjectID="_1814621131" r:id="rId26"/>
        </w:object>
      </w:r>
      <w:r>
        <w:t xml:space="preserve"> (2)</w:t>
      </w:r>
    </w:p>
    <w:p w14:paraId="6DFFEC22" w14:textId="692F429C" w:rsidR="00955489" w:rsidRDefault="005E727F" w:rsidP="0010052A">
      <w:pPr>
        <w:ind w:left="426"/>
      </w:pPr>
      <w:r>
        <w:t xml:space="preserve">Βλέπουμε το φορτίο του πυκνωτή να αυξάνεται εκθετικά και η φόρτιση να διαρκεί άπειρο χρόνο αφού </w:t>
      </w:r>
      <w:r w:rsidR="00E15630">
        <w:t xml:space="preserve">όταν </w:t>
      </w:r>
      <w:r>
        <w:t xml:space="preserve"> t→∞</w:t>
      </w:r>
      <w:r w:rsidR="00BB27E2">
        <w:t xml:space="preserve"> </w:t>
      </w:r>
      <w:r>
        <w:t xml:space="preserve">τότε </w:t>
      </w:r>
      <w:proofErr w:type="spellStart"/>
      <w:r>
        <w:t>q</w:t>
      </w:r>
      <w:r w:rsidR="00BB27E2">
        <w:t>→ΕC</w:t>
      </w:r>
      <w:proofErr w:type="spellEnd"/>
      <w:r w:rsidR="00BB27E2">
        <w:t>. Στην πράξη όμως θεωρούμε ότι η φόρτιση ολοκληρώνεται σε χρόνο πενταπλάσιο της σταθεράς χρόνου τ=R΄C. Έτσι στο (1) κύκλωμα θα απαιτηθεί χρόνος t</w:t>
      </w:r>
      <w:r w:rsidR="00BB27E2">
        <w:rPr>
          <w:vertAlign w:val="subscript"/>
        </w:rPr>
        <w:t>1</w:t>
      </w:r>
      <w:r w:rsidR="00BB27E2">
        <w:t>=5τ=5RC, ενώ στο κύκλωμα (2) διπλάσιος χρόνος, αφού t</w:t>
      </w:r>
      <w:r w:rsidR="00BB27E2">
        <w:rPr>
          <w:vertAlign w:val="subscript"/>
        </w:rPr>
        <w:t>2</w:t>
      </w:r>
      <w:r w:rsidR="00BB27E2" w:rsidRPr="00BB27E2">
        <w:t>=5</w:t>
      </w:r>
      <w:r w:rsidR="00BB27E2">
        <w:rPr>
          <w:rFonts w:ascii="Arial" w:hAnsi="Arial" w:cs="Arial"/>
        </w:rPr>
        <w:t>∙</w:t>
      </w:r>
      <w:r w:rsidR="00BB27E2" w:rsidRPr="00BB27E2">
        <w:t>2</w:t>
      </w:r>
      <w:r w:rsidR="00BB27E2">
        <w:rPr>
          <w:lang w:val="en-US"/>
        </w:rPr>
        <w:t>RC</w:t>
      </w:r>
      <w:r w:rsidR="00BB27E2" w:rsidRPr="00BB27E2">
        <w:t>=10</w:t>
      </w:r>
      <w:r w:rsidR="00BB27E2">
        <w:t>RC. Έτσι οι ζητούμενες γραφικές παραστάσεις παίρνουν την μορφή του σχήματος:</w:t>
      </w:r>
    </w:p>
    <w:p w14:paraId="5260ECF3" w14:textId="7739E5D8" w:rsidR="00BB27E2" w:rsidRDefault="00204FF4" w:rsidP="00204FF4">
      <w:pPr>
        <w:ind w:left="340"/>
        <w:jc w:val="center"/>
        <w:rPr>
          <w:lang w:val="en-US"/>
        </w:rPr>
      </w:pPr>
      <w:r>
        <w:object w:dxaOrig="3870" w:dyaOrig="1940" w14:anchorId="75D493E0">
          <v:shape id="_x0000_i1035" type="#_x0000_t75" style="width:193.25pt;height:96.8pt" o:ole="" filled="t" fillcolor="yellow">
            <v:imagedata r:id="rId27" o:title=""/>
          </v:shape>
          <o:OLEObject Type="Embed" ProgID="Visio.Drawing.11" ShapeID="_x0000_i1035" DrawAspect="Content" ObjectID="_1814621132" r:id="rId28"/>
        </w:object>
      </w:r>
    </w:p>
    <w:p w14:paraId="7C41AD8F" w14:textId="485BCB9D" w:rsidR="00204FF4" w:rsidRPr="00204FF4" w:rsidRDefault="00204FF4" w:rsidP="00204FF4">
      <w:pPr>
        <w:pStyle w:val="a9"/>
        <w:jc w:val="right"/>
        <w:rPr>
          <w:lang w:val="en-US"/>
        </w:rPr>
      </w:pPr>
      <w:r>
        <w:rPr>
          <w:lang w:val="en-US"/>
        </w:rPr>
        <w:t>dmargaris@gmal.com</w:t>
      </w:r>
    </w:p>
    <w:sectPr w:rsidR="00204FF4" w:rsidRPr="00204FF4">
      <w:headerReference w:type="default" r:id="rId29"/>
      <w:footerReference w:type="default" r:id="rId3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1611" w14:textId="77777777" w:rsidR="00900438" w:rsidRDefault="00900438">
      <w:pPr>
        <w:spacing w:line="240" w:lineRule="auto"/>
      </w:pPr>
      <w:r>
        <w:separator/>
      </w:r>
    </w:p>
  </w:endnote>
  <w:endnote w:type="continuationSeparator" w:id="0">
    <w:p w14:paraId="476F61E6" w14:textId="77777777" w:rsidR="00900438" w:rsidRDefault="00900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62D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221A77B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022EDFB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10AC" w14:textId="77777777" w:rsidR="00900438" w:rsidRDefault="00900438">
      <w:pPr>
        <w:spacing w:after="0"/>
      </w:pPr>
      <w:r>
        <w:separator/>
      </w:r>
    </w:p>
  </w:footnote>
  <w:footnote w:type="continuationSeparator" w:id="0">
    <w:p w14:paraId="286D8D21" w14:textId="77777777" w:rsidR="00900438" w:rsidRDefault="00900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83CD" w14:textId="06D9C766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C0466">
      <w:rPr>
        <w:i/>
      </w:rPr>
      <w:t>Ηλεκτρικό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E93A0C22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252789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66"/>
    <w:rsid w:val="00021222"/>
    <w:rsid w:val="00023972"/>
    <w:rsid w:val="00026D66"/>
    <w:rsid w:val="00043134"/>
    <w:rsid w:val="00053396"/>
    <w:rsid w:val="00060EF4"/>
    <w:rsid w:val="000679A2"/>
    <w:rsid w:val="000912E3"/>
    <w:rsid w:val="00091E43"/>
    <w:rsid w:val="000A5A2D"/>
    <w:rsid w:val="000B48D3"/>
    <w:rsid w:val="000B7E68"/>
    <w:rsid w:val="000C2E10"/>
    <w:rsid w:val="000C397A"/>
    <w:rsid w:val="000D78E0"/>
    <w:rsid w:val="0010052A"/>
    <w:rsid w:val="0012203A"/>
    <w:rsid w:val="00157DCF"/>
    <w:rsid w:val="001664A5"/>
    <w:rsid w:val="001764F7"/>
    <w:rsid w:val="001818E5"/>
    <w:rsid w:val="00191C12"/>
    <w:rsid w:val="001B25B2"/>
    <w:rsid w:val="001B45D6"/>
    <w:rsid w:val="001C5136"/>
    <w:rsid w:val="00203A21"/>
    <w:rsid w:val="00204FF4"/>
    <w:rsid w:val="002C368A"/>
    <w:rsid w:val="002C4684"/>
    <w:rsid w:val="002F481E"/>
    <w:rsid w:val="003034D4"/>
    <w:rsid w:val="003272C2"/>
    <w:rsid w:val="00334BD8"/>
    <w:rsid w:val="00335460"/>
    <w:rsid w:val="00342B66"/>
    <w:rsid w:val="003623AB"/>
    <w:rsid w:val="00371533"/>
    <w:rsid w:val="0039013D"/>
    <w:rsid w:val="003959A8"/>
    <w:rsid w:val="003A6C4E"/>
    <w:rsid w:val="003A77A4"/>
    <w:rsid w:val="003B4900"/>
    <w:rsid w:val="003D2058"/>
    <w:rsid w:val="003E1678"/>
    <w:rsid w:val="003E53D7"/>
    <w:rsid w:val="0041752B"/>
    <w:rsid w:val="00430289"/>
    <w:rsid w:val="0044454D"/>
    <w:rsid w:val="00465544"/>
    <w:rsid w:val="00465D8E"/>
    <w:rsid w:val="00470A0F"/>
    <w:rsid w:val="0047288B"/>
    <w:rsid w:val="00480ADE"/>
    <w:rsid w:val="00485825"/>
    <w:rsid w:val="004B1BA7"/>
    <w:rsid w:val="004C0760"/>
    <w:rsid w:val="004F7518"/>
    <w:rsid w:val="00503A3E"/>
    <w:rsid w:val="0050788A"/>
    <w:rsid w:val="005270DF"/>
    <w:rsid w:val="00555BC9"/>
    <w:rsid w:val="0055699C"/>
    <w:rsid w:val="00572886"/>
    <w:rsid w:val="00585132"/>
    <w:rsid w:val="005C059F"/>
    <w:rsid w:val="005C648C"/>
    <w:rsid w:val="005E727F"/>
    <w:rsid w:val="0064303C"/>
    <w:rsid w:val="00667E23"/>
    <w:rsid w:val="00687B49"/>
    <w:rsid w:val="006C3491"/>
    <w:rsid w:val="006E4ABE"/>
    <w:rsid w:val="006E6A87"/>
    <w:rsid w:val="006F5F92"/>
    <w:rsid w:val="00717932"/>
    <w:rsid w:val="00736498"/>
    <w:rsid w:val="00744C3F"/>
    <w:rsid w:val="00757BF7"/>
    <w:rsid w:val="00774F6B"/>
    <w:rsid w:val="007B35C2"/>
    <w:rsid w:val="007B36AF"/>
    <w:rsid w:val="007D112E"/>
    <w:rsid w:val="007D7637"/>
    <w:rsid w:val="007E115B"/>
    <w:rsid w:val="007F4EE5"/>
    <w:rsid w:val="00814FD8"/>
    <w:rsid w:val="0081576D"/>
    <w:rsid w:val="00844E46"/>
    <w:rsid w:val="00847D47"/>
    <w:rsid w:val="00861298"/>
    <w:rsid w:val="00873F39"/>
    <w:rsid w:val="0087491C"/>
    <w:rsid w:val="008945AD"/>
    <w:rsid w:val="00897257"/>
    <w:rsid w:val="008F3C3C"/>
    <w:rsid w:val="008F70FE"/>
    <w:rsid w:val="00900438"/>
    <w:rsid w:val="00923AB1"/>
    <w:rsid w:val="00955489"/>
    <w:rsid w:val="009675D3"/>
    <w:rsid w:val="009828C0"/>
    <w:rsid w:val="009979C8"/>
    <w:rsid w:val="009A1C4D"/>
    <w:rsid w:val="009B3F35"/>
    <w:rsid w:val="009F636C"/>
    <w:rsid w:val="00A15C87"/>
    <w:rsid w:val="00A44AD3"/>
    <w:rsid w:val="00A5797A"/>
    <w:rsid w:val="00A80681"/>
    <w:rsid w:val="00AA662C"/>
    <w:rsid w:val="00AB4935"/>
    <w:rsid w:val="00AC0466"/>
    <w:rsid w:val="00AC562E"/>
    <w:rsid w:val="00AC5AC3"/>
    <w:rsid w:val="00AE0040"/>
    <w:rsid w:val="00B11C3D"/>
    <w:rsid w:val="00B32221"/>
    <w:rsid w:val="00B344E9"/>
    <w:rsid w:val="00B43F62"/>
    <w:rsid w:val="00B820C2"/>
    <w:rsid w:val="00BB27E2"/>
    <w:rsid w:val="00BB3001"/>
    <w:rsid w:val="00CA7A43"/>
    <w:rsid w:val="00CD63CF"/>
    <w:rsid w:val="00CF5396"/>
    <w:rsid w:val="00D045EF"/>
    <w:rsid w:val="00D533FC"/>
    <w:rsid w:val="00D63D0F"/>
    <w:rsid w:val="00D726E5"/>
    <w:rsid w:val="00D82210"/>
    <w:rsid w:val="00D97305"/>
    <w:rsid w:val="00DA0155"/>
    <w:rsid w:val="00DA1226"/>
    <w:rsid w:val="00DB03A5"/>
    <w:rsid w:val="00DB77D1"/>
    <w:rsid w:val="00DC3154"/>
    <w:rsid w:val="00DE1D3D"/>
    <w:rsid w:val="00DE49E1"/>
    <w:rsid w:val="00DF4F17"/>
    <w:rsid w:val="00E15630"/>
    <w:rsid w:val="00E210D0"/>
    <w:rsid w:val="00E37CC9"/>
    <w:rsid w:val="00EA64C4"/>
    <w:rsid w:val="00EB2362"/>
    <w:rsid w:val="00EB6640"/>
    <w:rsid w:val="00EC647B"/>
    <w:rsid w:val="00EE1786"/>
    <w:rsid w:val="00EE7957"/>
    <w:rsid w:val="00F57374"/>
    <w:rsid w:val="00F6515A"/>
    <w:rsid w:val="00F66882"/>
    <w:rsid w:val="00F6705E"/>
    <w:rsid w:val="00F71F26"/>
    <w:rsid w:val="00F73155"/>
    <w:rsid w:val="00F948EA"/>
    <w:rsid w:val="00FA0CD8"/>
    <w:rsid w:val="00FA7D40"/>
    <w:rsid w:val="00FB67CF"/>
    <w:rsid w:val="00FB6B94"/>
    <w:rsid w:val="00FC055B"/>
    <w:rsid w:val="00FD54FF"/>
    <w:rsid w:val="00FE0CBE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A7A9"/>
  <w15:docId w15:val="{0007C60F-A68C-4F28-8ACE-C86A0D0E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2C368A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AE0040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E00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026D66"/>
    <w:pPr>
      <w:numPr>
        <w:numId w:val="10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10052A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numbering" w:styleId="1i">
    <w:name w:val="Outline List 1"/>
    <w:basedOn w:val="a4"/>
    <w:rsid w:val="005E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emf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6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3</cp:revision>
  <cp:lastPrinted>2024-12-03T07:26:00Z</cp:lastPrinted>
  <dcterms:created xsi:type="dcterms:W3CDTF">2025-07-21T13:27:00Z</dcterms:created>
  <dcterms:modified xsi:type="dcterms:W3CDTF">2025-07-21T13:38:00Z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